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AB"/>
      </w:tblPr>
      <w:tblGrid>
        <w:gridCol w:w="2337"/>
        <w:gridCol w:w="5356"/>
        <w:gridCol w:w="2357"/>
      </w:tblGrid>
      <w:tr w:rsidR="000D1934" w14:paraId="44E27D72" w14:textId="77777777" w:rsidTr="00C54060">
        <w:trPr>
          <w:trHeight w:val="150"/>
        </w:trPr>
        <w:tc>
          <w:tcPr>
            <w:tcW w:w="2337" w:type="dxa"/>
            <w:vMerge w:val="restart"/>
            <w:vAlign w:val="center"/>
          </w:tcPr>
          <w:p w14:paraId="090CCA73" w14:textId="77777777" w:rsidR="000D1934" w:rsidRDefault="000D1934" w:rsidP="001A6A62">
            <w:pPr>
              <w:tabs>
                <w:tab w:val="right" w:pos="9270"/>
              </w:tabs>
              <w:jc w:val="center"/>
              <w:rPr>
                <w:noProof/>
              </w:rPr>
            </w:pPr>
          </w:p>
        </w:tc>
        <w:tc>
          <w:tcPr>
            <w:tcW w:w="5356" w:type="dxa"/>
            <w:vMerge w:val="restart"/>
            <w:vAlign w:val="center"/>
          </w:tcPr>
          <w:p w14:paraId="4ABF59CB" w14:textId="77777777" w:rsidR="000D1934" w:rsidRDefault="00603BA8" w:rsidP="001A6A62">
            <w:pPr>
              <w:tabs>
                <w:tab w:val="right" w:pos="9270"/>
              </w:tabs>
              <w:jc w:val="center"/>
              <w:rPr>
                <w:rFonts w:cstheme="minorHAnsi"/>
                <w:b/>
                <w:bCs/>
                <w:sz w:val="36"/>
                <w:szCs w:val="36"/>
              </w:rPr>
            </w:pPr>
            <w:r>
              <w:rPr>
                <w:rFonts w:cstheme="minorHAnsi"/>
                <w:b/>
                <w:bCs/>
                <w:sz w:val="36"/>
                <w:szCs w:val="36"/>
              </w:rPr>
              <w:t>PLANNING COMMISSION</w:t>
            </w:r>
            <w:r w:rsidR="000D1934">
              <w:rPr>
                <w:rFonts w:cstheme="minorHAnsi"/>
                <w:b/>
                <w:bCs/>
                <w:sz w:val="36"/>
                <w:szCs w:val="36"/>
              </w:rPr>
              <w:br/>
            </w:r>
            <w:r w:rsidR="000D1934" w:rsidRPr="00604FAF">
              <w:rPr>
                <w:rFonts w:cstheme="minorHAnsi"/>
                <w:b/>
                <w:bCs/>
                <w:sz w:val="36"/>
                <w:szCs w:val="36"/>
              </w:rPr>
              <w:t>CITY OF MERCER ISLAND</w:t>
            </w:r>
          </w:p>
        </w:tc>
        <w:tc>
          <w:tcPr>
            <w:tcW w:w="2357" w:type="dxa"/>
          </w:tcPr>
          <w:p w14:paraId="29E4AD8B" w14:textId="1F1D7D2C" w:rsidR="000D1934" w:rsidRPr="00596B46" w:rsidRDefault="00603BA8" w:rsidP="001A6A62">
            <w:pPr>
              <w:tabs>
                <w:tab w:val="right" w:pos="9270"/>
              </w:tabs>
              <w:rPr>
                <w:rFonts w:cstheme="minorHAnsi"/>
                <w:b/>
                <w:bCs/>
                <w:sz w:val="28"/>
                <w:szCs w:val="28"/>
              </w:rPr>
            </w:pPr>
            <w:r>
              <w:rPr>
                <w:rFonts w:cstheme="minorHAnsi"/>
                <w:b/>
                <w:bCs/>
                <w:sz w:val="28"/>
                <w:szCs w:val="28"/>
              </w:rPr>
              <w:t>PC</w:t>
            </w:r>
            <w:r w:rsidR="000D1934" w:rsidRPr="00596B46">
              <w:rPr>
                <w:rFonts w:cstheme="minorHAnsi"/>
                <w:b/>
                <w:bCs/>
                <w:sz w:val="28"/>
                <w:szCs w:val="28"/>
              </w:rPr>
              <w:t xml:space="preserve">B </w:t>
            </w:r>
            <w:r w:rsidR="00FB33A4">
              <w:rPr>
                <w:rFonts w:cstheme="minorHAnsi"/>
                <w:b/>
                <w:bCs/>
                <w:sz w:val="28"/>
                <w:szCs w:val="28"/>
              </w:rPr>
              <w:t>2</w:t>
            </w:r>
            <w:r w:rsidR="004A743B">
              <w:rPr>
                <w:rFonts w:cstheme="minorHAnsi"/>
                <w:b/>
                <w:bCs/>
                <w:sz w:val="28"/>
                <w:szCs w:val="28"/>
              </w:rPr>
              <w:t>5</w:t>
            </w:r>
            <w:r w:rsidR="00FB33A4">
              <w:rPr>
                <w:rFonts w:cstheme="minorHAnsi"/>
                <w:b/>
                <w:bCs/>
                <w:sz w:val="28"/>
                <w:szCs w:val="28"/>
              </w:rPr>
              <w:t>-</w:t>
            </w:r>
            <w:r w:rsidR="00431182">
              <w:rPr>
                <w:rFonts w:cstheme="minorHAnsi"/>
                <w:b/>
                <w:bCs/>
                <w:sz w:val="28"/>
                <w:szCs w:val="28"/>
              </w:rPr>
              <w:t>13</w:t>
            </w:r>
            <w:r w:rsidR="000D1934" w:rsidRPr="00820CA5">
              <w:rPr>
                <w:rFonts w:cstheme="minorHAnsi"/>
              </w:rPr>
              <w:t xml:space="preserve"> </w:t>
            </w:r>
          </w:p>
        </w:tc>
      </w:tr>
      <w:tr w:rsidR="000D1934" w14:paraId="3C895934" w14:textId="77777777" w:rsidTr="00C54060">
        <w:trPr>
          <w:trHeight w:val="288"/>
        </w:trPr>
        <w:tc>
          <w:tcPr>
            <w:tcW w:w="2337" w:type="dxa"/>
            <w:vMerge/>
          </w:tcPr>
          <w:p w14:paraId="3FF350FC" w14:textId="77777777" w:rsidR="000D1934" w:rsidRDefault="000D1934" w:rsidP="00EE71F2">
            <w:pPr>
              <w:tabs>
                <w:tab w:val="right" w:pos="9270"/>
              </w:tabs>
              <w:rPr>
                <w:rFonts w:cstheme="minorHAnsi"/>
                <w:b/>
                <w:bCs/>
                <w:sz w:val="28"/>
                <w:szCs w:val="28"/>
              </w:rPr>
            </w:pPr>
          </w:p>
        </w:tc>
        <w:tc>
          <w:tcPr>
            <w:tcW w:w="5356" w:type="dxa"/>
            <w:vMerge/>
          </w:tcPr>
          <w:p w14:paraId="7476B3D4" w14:textId="77777777" w:rsidR="000D1934" w:rsidRPr="00604FAF" w:rsidRDefault="000D1934" w:rsidP="001A6A62">
            <w:pPr>
              <w:tabs>
                <w:tab w:val="right" w:pos="9270"/>
              </w:tabs>
              <w:jc w:val="center"/>
              <w:rPr>
                <w:rFonts w:cstheme="minorHAnsi"/>
                <w:b/>
                <w:bCs/>
                <w:sz w:val="36"/>
                <w:szCs w:val="36"/>
              </w:rPr>
            </w:pPr>
          </w:p>
        </w:tc>
        <w:sdt>
          <w:sdtPr>
            <w:rPr>
              <w:rFonts w:cstheme="minorHAnsi"/>
              <w:b/>
              <w:bCs/>
              <w:sz w:val="28"/>
              <w:szCs w:val="28"/>
            </w:rPr>
            <w:tag w:val="Click for date"/>
            <w:id w:val="-760374646"/>
            <w:placeholder>
              <w:docPart w:val="EEAF06BBA10D44FE806CD61E9D4E4B34"/>
            </w:placeholder>
            <w:date w:fullDate="2025-07-23T00:00:00Z">
              <w:dateFormat w:val="MMMM d, yyyy"/>
              <w:lid w:val="en-US"/>
              <w:storeMappedDataAs w:val="date"/>
              <w:calendar w:val="gregorian"/>
            </w:date>
          </w:sdtPr>
          <w:sdtEndPr/>
          <w:sdtContent>
            <w:tc>
              <w:tcPr>
                <w:tcW w:w="2357" w:type="dxa"/>
                <w:vAlign w:val="center"/>
              </w:tcPr>
              <w:p w14:paraId="08DDB585" w14:textId="41B623CE" w:rsidR="000D1934" w:rsidRDefault="006F395E" w:rsidP="00C54060">
                <w:pPr>
                  <w:tabs>
                    <w:tab w:val="right" w:pos="9270"/>
                  </w:tabs>
                  <w:rPr>
                    <w:rFonts w:cstheme="minorHAnsi"/>
                    <w:b/>
                    <w:bCs/>
                    <w:sz w:val="28"/>
                    <w:szCs w:val="28"/>
                  </w:rPr>
                </w:pPr>
                <w:r>
                  <w:rPr>
                    <w:rFonts w:cstheme="minorHAnsi"/>
                    <w:b/>
                    <w:bCs/>
                    <w:sz w:val="28"/>
                    <w:szCs w:val="28"/>
                  </w:rPr>
                  <w:t>July 23, 2025</w:t>
                </w:r>
              </w:p>
            </w:tc>
          </w:sdtContent>
        </w:sdt>
      </w:tr>
      <w:tr w:rsidR="000D1934" w14:paraId="49B4D411" w14:textId="77777777" w:rsidTr="00C54060">
        <w:trPr>
          <w:trHeight w:val="50"/>
        </w:trPr>
        <w:tc>
          <w:tcPr>
            <w:tcW w:w="2337" w:type="dxa"/>
            <w:vMerge/>
          </w:tcPr>
          <w:p w14:paraId="7C2FE7F8" w14:textId="77777777" w:rsidR="000D1934" w:rsidRDefault="000D1934" w:rsidP="008C7343">
            <w:pPr>
              <w:tabs>
                <w:tab w:val="right" w:pos="9270"/>
              </w:tabs>
              <w:jc w:val="center"/>
              <w:rPr>
                <w:noProof/>
              </w:rPr>
            </w:pPr>
          </w:p>
        </w:tc>
        <w:tc>
          <w:tcPr>
            <w:tcW w:w="5356" w:type="dxa"/>
            <w:vMerge/>
          </w:tcPr>
          <w:p w14:paraId="54E30B41" w14:textId="77777777" w:rsidR="000D1934" w:rsidRPr="00820CA5" w:rsidRDefault="000D1934" w:rsidP="001A6A62">
            <w:pPr>
              <w:tabs>
                <w:tab w:val="right" w:pos="9270"/>
              </w:tabs>
              <w:jc w:val="center"/>
              <w:rPr>
                <w:rFonts w:cstheme="minorHAnsi"/>
                <w:b/>
                <w:bCs/>
                <w:sz w:val="28"/>
                <w:szCs w:val="28"/>
              </w:rPr>
            </w:pPr>
          </w:p>
        </w:tc>
        <w:sdt>
          <w:sdtPr>
            <w:rPr>
              <w:rFonts w:cstheme="minorHAnsi"/>
              <w:b/>
              <w:bCs/>
              <w:sz w:val="28"/>
              <w:szCs w:val="28"/>
            </w:rPr>
            <w:alias w:val="Other Business"/>
            <w:tag w:val="Other Business"/>
            <w:id w:val="1222486702"/>
            <w:placeholder>
              <w:docPart w:val="C07CAA575D544B5A8360D2C33643B358"/>
            </w:placeholder>
            <w:comboBox>
              <w:listItem w:value="Choose an item."/>
              <w:listItem w:displayText="Regular Business " w:value="Regular Business "/>
              <w:listItem w:displayText="Public Hearing" w:value="Public Hearing"/>
              <w:listItem w:displayText="Special Business" w:value="Special Business"/>
              <w:listItem w:displayText="Other Business" w:value="Other Business"/>
            </w:comboBox>
          </w:sdtPr>
          <w:sdtEndPr/>
          <w:sdtContent>
            <w:tc>
              <w:tcPr>
                <w:tcW w:w="2357" w:type="dxa"/>
              </w:tcPr>
              <w:p w14:paraId="2533A7B0" w14:textId="2533C5E2" w:rsidR="000D1934" w:rsidRDefault="006F395E" w:rsidP="001A6A62">
                <w:pPr>
                  <w:tabs>
                    <w:tab w:val="right" w:pos="9270"/>
                  </w:tabs>
                  <w:rPr>
                    <w:rFonts w:cstheme="minorHAnsi"/>
                    <w:b/>
                    <w:bCs/>
                    <w:sz w:val="28"/>
                    <w:szCs w:val="28"/>
                  </w:rPr>
                </w:pPr>
                <w:r>
                  <w:rPr>
                    <w:rFonts w:cstheme="minorHAnsi"/>
                    <w:b/>
                    <w:bCs/>
                    <w:sz w:val="28"/>
                    <w:szCs w:val="28"/>
                  </w:rPr>
                  <w:t xml:space="preserve">Regular Business </w:t>
                </w:r>
              </w:p>
            </w:tc>
          </w:sdtContent>
        </w:sdt>
      </w:tr>
    </w:tbl>
    <w:p w14:paraId="393874CE" w14:textId="77777777" w:rsidR="00820CA5" w:rsidRPr="001A6A62" w:rsidRDefault="00603BA8" w:rsidP="00820CA5">
      <w:pPr>
        <w:spacing w:after="0" w:line="240" w:lineRule="auto"/>
        <w:rPr>
          <w:rFonts w:cstheme="minorHAnsi"/>
          <w:b/>
          <w:bCs/>
          <w:sz w:val="2"/>
          <w:szCs w:val="2"/>
        </w:rPr>
      </w:pPr>
      <w:r>
        <w:rPr>
          <w:noProof/>
        </w:rPr>
        <w:drawing>
          <wp:anchor distT="0" distB="0" distL="114300" distR="114300" simplePos="0" relativeHeight="251658240" behindDoc="0" locked="0" layoutInCell="1" allowOverlap="1" wp14:anchorId="086AD9BC" wp14:editId="062FB59A">
            <wp:simplePos x="0" y="0"/>
            <wp:positionH relativeFrom="column">
              <wp:posOffset>60306</wp:posOffset>
            </wp:positionH>
            <wp:positionV relativeFrom="paragraph">
              <wp:posOffset>-949559</wp:posOffset>
            </wp:positionV>
            <wp:extent cx="962025" cy="908803"/>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2025" cy="908803"/>
                    </a:xfrm>
                    <a:prstGeom prst="rect">
                      <a:avLst/>
                    </a:prstGeom>
                  </pic:spPr>
                </pic:pic>
              </a:graphicData>
            </a:graphic>
            <wp14:sizeRelH relativeFrom="margin">
              <wp14:pctWidth>0</wp14:pctWidth>
            </wp14:sizeRelH>
            <wp14:sizeRelV relativeFrom="margin">
              <wp14:pctHeight>0</wp14:pctHeight>
            </wp14:sizeRelV>
          </wp:anchor>
        </w:drawing>
      </w:r>
      <w:r w:rsidR="002321B8">
        <w:rPr>
          <w:rFonts w:cstheme="minorHAnsi"/>
          <w:b/>
          <w:bCs/>
          <w:sz w:val="2"/>
          <w:szCs w:val="2"/>
        </w:rPr>
        <w:br/>
      </w:r>
      <w:r w:rsidR="002321B8">
        <w:rPr>
          <w:rFonts w:cstheme="minorHAnsi"/>
          <w:b/>
          <w:bCs/>
          <w:sz w:val="2"/>
          <w:szCs w:val="2"/>
        </w:rPr>
        <w:br/>
      </w:r>
      <w:r w:rsidR="002321B8">
        <w:rPr>
          <w:rFonts w:cstheme="minorHAnsi"/>
          <w:b/>
          <w:bCs/>
          <w:sz w:val="2"/>
          <w:szCs w:val="2"/>
        </w:rPr>
        <w:br/>
      </w:r>
    </w:p>
    <w:tbl>
      <w:tblPr>
        <w:tblStyle w:val="TableGrid"/>
        <w:tblW w:w="0" w:type="auto"/>
        <w:tblCellMar>
          <w:left w:w="115" w:type="dxa"/>
          <w:right w:w="115" w:type="dxa"/>
        </w:tblCellMar>
        <w:tblLook w:val="04A0" w:firstRow="1" w:lastRow="0" w:firstColumn="1" w:lastColumn="0" w:noHBand="0" w:noVBand="1"/>
      </w:tblPr>
      <w:tblGrid>
        <w:gridCol w:w="10070"/>
      </w:tblGrid>
      <w:tr w:rsidR="00604FAF" w14:paraId="1DFC4E46" w14:textId="77777777" w:rsidTr="00C84C42">
        <w:tc>
          <w:tcPr>
            <w:tcW w:w="10070" w:type="dxa"/>
            <w:shd w:val="clear" w:color="auto" w:fill="0068B4"/>
            <w:vAlign w:val="center"/>
          </w:tcPr>
          <w:p w14:paraId="45E5DA81" w14:textId="77777777" w:rsidR="00604FAF" w:rsidRDefault="00596B46" w:rsidP="00604FAF">
            <w:pPr>
              <w:rPr>
                <w:rFonts w:cstheme="minorHAnsi"/>
                <w:b/>
                <w:bCs/>
                <w:sz w:val="36"/>
                <w:szCs w:val="36"/>
              </w:rPr>
            </w:pPr>
            <w:r w:rsidRPr="00C84C42">
              <w:rPr>
                <w:rFonts w:cstheme="minorHAnsi"/>
                <w:b/>
                <w:bCs/>
                <w:color w:val="FFFFFF" w:themeColor="background1"/>
                <w:sz w:val="28"/>
                <w:szCs w:val="28"/>
              </w:rPr>
              <w:t>AGENDA BILL</w:t>
            </w:r>
            <w:r w:rsidR="00604FAF" w:rsidRPr="00C84C42">
              <w:rPr>
                <w:rFonts w:cstheme="minorHAnsi"/>
                <w:b/>
                <w:bCs/>
                <w:color w:val="FFFFFF" w:themeColor="background1"/>
                <w:sz w:val="28"/>
                <w:szCs w:val="28"/>
              </w:rPr>
              <w:t xml:space="preserve"> INFORMATION </w:t>
            </w:r>
          </w:p>
        </w:tc>
      </w:tr>
    </w:tbl>
    <w:p w14:paraId="73538AE0" w14:textId="77777777" w:rsidR="00604FAF" w:rsidRPr="00EE71F2" w:rsidRDefault="00604FAF" w:rsidP="00820CA5">
      <w:pPr>
        <w:spacing w:after="0" w:line="240" w:lineRule="auto"/>
        <w:rPr>
          <w:rFonts w:cstheme="minorHAnsi"/>
          <w:b/>
          <w:bCs/>
          <w:sz w:val="16"/>
          <w:szCs w:val="16"/>
        </w:rPr>
      </w:pPr>
    </w:p>
    <w:tbl>
      <w:tblPr>
        <w:tblStyle w:val="TableGrid"/>
        <w:tblW w:w="0" w:type="auto"/>
        <w:tblBorders>
          <w:top w:val="single" w:sz="12" w:space="0" w:color="auto"/>
          <w:left w:val="single" w:sz="12" w:space="0" w:color="auto"/>
          <w:bottom w:val="single" w:sz="12" w:space="0" w:color="auto"/>
          <w:right w:val="single" w:sz="12" w:space="0" w:color="auto"/>
        </w:tblBorders>
        <w:tblCellMar>
          <w:left w:w="86" w:type="dxa"/>
          <w:right w:w="86" w:type="dxa"/>
        </w:tblCellMar>
        <w:tblLook w:val="04A0" w:firstRow="1" w:lastRow="0" w:firstColumn="1" w:lastColumn="0" w:noHBand="0" w:noVBand="1"/>
      </w:tblPr>
      <w:tblGrid>
        <w:gridCol w:w="2595"/>
        <w:gridCol w:w="5130"/>
        <w:gridCol w:w="2325"/>
      </w:tblGrid>
      <w:tr w:rsidR="0045120B" w:rsidRPr="00820CA5" w14:paraId="0510E646" w14:textId="77777777" w:rsidTr="00871D2D">
        <w:trPr>
          <w:trHeight w:val="419"/>
        </w:trPr>
        <w:tc>
          <w:tcPr>
            <w:tcW w:w="2595" w:type="dxa"/>
          </w:tcPr>
          <w:p w14:paraId="67039D19" w14:textId="77777777" w:rsidR="0045120B" w:rsidRPr="008C7343" w:rsidRDefault="0045120B" w:rsidP="00D705BB">
            <w:pPr>
              <w:spacing w:before="80"/>
              <w:rPr>
                <w:rFonts w:cstheme="minorHAnsi"/>
                <w:b/>
                <w:bCs/>
                <w:caps/>
              </w:rPr>
            </w:pPr>
            <w:bookmarkStart w:id="0" w:name="APSF1" w:colFirst="1" w:colLast="1"/>
            <w:r>
              <w:rPr>
                <w:rFonts w:cstheme="minorHAnsi"/>
                <w:b/>
                <w:bCs/>
                <w:caps/>
              </w:rPr>
              <w:t>TitLE:</w:t>
            </w:r>
          </w:p>
        </w:tc>
        <w:tc>
          <w:tcPr>
            <w:tcW w:w="5130" w:type="dxa"/>
          </w:tcPr>
          <w:p w14:paraId="10AEAD50" w14:textId="53231DD9" w:rsidR="0045120B" w:rsidRPr="00596B46" w:rsidRDefault="00603BA8" w:rsidP="00107842">
            <w:pPr>
              <w:spacing w:before="80" w:after="80"/>
              <w:rPr>
                <w:rFonts w:cstheme="minorHAnsi"/>
              </w:rPr>
            </w:pPr>
            <w:r>
              <w:rPr>
                <w:rFonts w:cstheme="minorHAnsi"/>
              </w:rPr>
              <w:t>PC</w:t>
            </w:r>
            <w:r w:rsidR="0045120B">
              <w:rPr>
                <w:rFonts w:cstheme="minorHAnsi"/>
              </w:rPr>
              <w:t xml:space="preserve">B </w:t>
            </w:r>
            <w:r w:rsidR="00FB33A4">
              <w:rPr>
                <w:rFonts w:cstheme="minorHAnsi"/>
              </w:rPr>
              <w:t>2</w:t>
            </w:r>
            <w:r w:rsidR="004A743B">
              <w:rPr>
                <w:rFonts w:cstheme="minorHAnsi"/>
              </w:rPr>
              <w:t>5</w:t>
            </w:r>
            <w:r w:rsidR="00FB33A4">
              <w:rPr>
                <w:rFonts w:cstheme="minorHAnsi"/>
              </w:rPr>
              <w:t>-</w:t>
            </w:r>
            <w:r w:rsidR="00431182">
              <w:rPr>
                <w:rFonts w:cstheme="minorHAnsi"/>
              </w:rPr>
              <w:t>13</w:t>
            </w:r>
            <w:r w:rsidR="0045120B">
              <w:rPr>
                <w:rFonts w:cstheme="minorHAnsi"/>
              </w:rPr>
              <w:t xml:space="preserve">: </w:t>
            </w:r>
            <w:r w:rsidR="00DB45E0">
              <w:rPr>
                <w:rFonts w:cstheme="minorHAnsi"/>
              </w:rPr>
              <w:t>Permanent</w:t>
            </w:r>
            <w:r w:rsidR="00A46EB2">
              <w:rPr>
                <w:rFonts w:cstheme="minorHAnsi"/>
              </w:rPr>
              <w:t xml:space="preserve"> Regulations for Temporary Uses and Structures Including Outdoor Dining</w:t>
            </w:r>
            <w:r w:rsidR="002E11FD">
              <w:rPr>
                <w:rFonts w:cstheme="minorHAnsi"/>
              </w:rPr>
              <w:t xml:space="preserve"> (</w:t>
            </w:r>
            <w:r w:rsidR="005F7906">
              <w:rPr>
                <w:rFonts w:cstheme="minorHAnsi"/>
              </w:rPr>
              <w:t>Third</w:t>
            </w:r>
            <w:r w:rsidR="002E11FD">
              <w:rPr>
                <w:rFonts w:cstheme="minorHAnsi"/>
              </w:rPr>
              <w:t xml:space="preserve"> Reading)</w:t>
            </w:r>
            <w:r w:rsidR="00A46EB2">
              <w:rPr>
                <w:rFonts w:cstheme="minorHAnsi"/>
              </w:rPr>
              <w:t>.</w:t>
            </w:r>
          </w:p>
        </w:tc>
        <w:tc>
          <w:tcPr>
            <w:tcW w:w="2325" w:type="dxa"/>
            <w:vMerge w:val="restart"/>
          </w:tcPr>
          <w:p w14:paraId="183B98C0" w14:textId="5B2BA8AF" w:rsidR="0045120B" w:rsidRDefault="00FC20E2" w:rsidP="0098178F">
            <w:pPr>
              <w:rPr>
                <w:rFonts w:cstheme="minorHAnsi"/>
              </w:rPr>
            </w:pPr>
            <w:sdt>
              <w:sdtPr>
                <w:rPr>
                  <w:rFonts w:cstheme="minorHAnsi"/>
                </w:rPr>
                <w:id w:val="-1545366535"/>
                <w14:checkbox>
                  <w14:checked w14:val="0"/>
                  <w14:checkedState w14:val="2612" w14:font="MS Gothic"/>
                  <w14:uncheckedState w14:val="2610" w14:font="MS Gothic"/>
                </w14:checkbox>
              </w:sdtPr>
              <w:sdtEndPr/>
              <w:sdtContent>
                <w:r w:rsidR="00DB45E0">
                  <w:rPr>
                    <w:rFonts w:ascii="MS Gothic" w:eastAsia="MS Gothic" w:hAnsi="MS Gothic" w:cstheme="minorHAnsi" w:hint="eastAsia"/>
                  </w:rPr>
                  <w:t>☐</w:t>
                </w:r>
              </w:sdtContent>
            </w:sdt>
            <w:r w:rsidR="0045120B" w:rsidRPr="009811E9">
              <w:rPr>
                <w:rFonts w:cstheme="minorHAnsi"/>
              </w:rPr>
              <w:t xml:space="preserve"> Discussion Only </w:t>
            </w:r>
          </w:p>
          <w:p w14:paraId="415FCA8D" w14:textId="6ED9B2E2" w:rsidR="0045120B" w:rsidRDefault="00FC20E2" w:rsidP="0098178F">
            <w:pPr>
              <w:rPr>
                <w:rFonts w:cstheme="minorHAnsi"/>
              </w:rPr>
            </w:pPr>
            <w:sdt>
              <w:sdtPr>
                <w:rPr>
                  <w:rFonts w:cstheme="minorHAnsi"/>
                </w:rPr>
                <w:id w:val="2077315154"/>
                <w14:checkbox>
                  <w14:checked w14:val="1"/>
                  <w14:checkedState w14:val="2612" w14:font="MS Gothic"/>
                  <w14:uncheckedState w14:val="2610" w14:font="MS Gothic"/>
                </w14:checkbox>
              </w:sdtPr>
              <w:sdtEndPr/>
              <w:sdtContent>
                <w:r w:rsidR="00DB45E0">
                  <w:rPr>
                    <w:rFonts w:ascii="MS Gothic" w:eastAsia="MS Gothic" w:hAnsi="MS Gothic" w:cstheme="minorHAnsi" w:hint="eastAsia"/>
                  </w:rPr>
                  <w:t>☒</w:t>
                </w:r>
              </w:sdtContent>
            </w:sdt>
            <w:r w:rsidR="0045120B" w:rsidRPr="009811E9">
              <w:rPr>
                <w:rFonts w:cstheme="minorHAnsi"/>
              </w:rPr>
              <w:t xml:space="preserve"> Action Needed:</w:t>
            </w:r>
            <w:r w:rsidR="0045120B">
              <w:rPr>
                <w:rFonts w:cstheme="minorHAnsi"/>
              </w:rPr>
              <w:t xml:space="preserve"> </w:t>
            </w:r>
          </w:p>
          <w:p w14:paraId="12EA6408" w14:textId="7C450E4A" w:rsidR="0045120B" w:rsidRDefault="00FC20E2" w:rsidP="002D2DCD">
            <w:pPr>
              <w:ind w:left="367" w:hanging="97"/>
              <w:rPr>
                <w:rFonts w:cstheme="minorHAnsi"/>
              </w:rPr>
            </w:pPr>
            <w:sdt>
              <w:sdtPr>
                <w:rPr>
                  <w:rFonts w:cstheme="minorHAnsi"/>
                </w:rPr>
                <w:id w:val="858327822"/>
                <w14:checkbox>
                  <w14:checked w14:val="1"/>
                  <w14:checkedState w14:val="2612" w14:font="MS Gothic"/>
                  <w14:uncheckedState w14:val="2610" w14:font="MS Gothic"/>
                </w14:checkbox>
              </w:sdtPr>
              <w:sdtEndPr/>
              <w:sdtContent>
                <w:r w:rsidR="00DB45E0">
                  <w:rPr>
                    <w:rFonts w:ascii="MS Gothic" w:eastAsia="MS Gothic" w:hAnsi="MS Gothic" w:cstheme="minorHAnsi" w:hint="eastAsia"/>
                  </w:rPr>
                  <w:t>☒</w:t>
                </w:r>
              </w:sdtContent>
            </w:sdt>
            <w:r w:rsidR="0045120B" w:rsidRPr="009811E9">
              <w:rPr>
                <w:rFonts w:cstheme="minorHAnsi"/>
              </w:rPr>
              <w:t xml:space="preserve"> Motion</w:t>
            </w:r>
            <w:r w:rsidR="0045120B">
              <w:rPr>
                <w:rFonts w:cstheme="minorHAnsi"/>
              </w:rPr>
              <w:t xml:space="preserve"> </w:t>
            </w:r>
          </w:p>
          <w:p w14:paraId="450C5475" w14:textId="07358665" w:rsidR="002D2DCD" w:rsidRPr="009811E9" w:rsidRDefault="00FC20E2" w:rsidP="002D2DCD">
            <w:pPr>
              <w:ind w:left="367" w:hanging="97"/>
              <w:rPr>
                <w:rFonts w:cstheme="minorHAnsi"/>
              </w:rPr>
            </w:pPr>
            <w:sdt>
              <w:sdtPr>
                <w:rPr>
                  <w:rFonts w:cstheme="minorHAnsi"/>
                </w:rPr>
                <w:id w:val="-199630142"/>
                <w14:checkbox>
                  <w14:checked w14:val="1"/>
                  <w14:checkedState w14:val="2612" w14:font="MS Gothic"/>
                  <w14:uncheckedState w14:val="2610" w14:font="MS Gothic"/>
                </w14:checkbox>
              </w:sdtPr>
              <w:sdtEndPr/>
              <w:sdtContent>
                <w:r w:rsidR="00DB45E0">
                  <w:rPr>
                    <w:rFonts w:ascii="MS Gothic" w:eastAsia="MS Gothic" w:hAnsi="MS Gothic" w:cstheme="minorHAnsi" w:hint="eastAsia"/>
                  </w:rPr>
                  <w:t>☒</w:t>
                </w:r>
              </w:sdtContent>
            </w:sdt>
            <w:r w:rsidR="002D2DCD" w:rsidRPr="009811E9">
              <w:rPr>
                <w:rFonts w:cstheme="minorHAnsi"/>
              </w:rPr>
              <w:t xml:space="preserve"> </w:t>
            </w:r>
            <w:r w:rsidR="002D2DCD">
              <w:rPr>
                <w:rFonts w:cstheme="minorHAnsi"/>
              </w:rPr>
              <w:t>Recommendation</w:t>
            </w:r>
          </w:p>
        </w:tc>
      </w:tr>
      <w:tr w:rsidR="0045120B" w:rsidRPr="00820CA5" w14:paraId="402CED3F" w14:textId="77777777" w:rsidTr="00871D2D">
        <w:trPr>
          <w:trHeight w:val="419"/>
        </w:trPr>
        <w:tc>
          <w:tcPr>
            <w:tcW w:w="2595" w:type="dxa"/>
          </w:tcPr>
          <w:p w14:paraId="745EAFC4" w14:textId="77777777" w:rsidR="0045120B" w:rsidRPr="008C7343" w:rsidRDefault="0045120B" w:rsidP="00D705BB">
            <w:pPr>
              <w:spacing w:before="80"/>
              <w:rPr>
                <w:rFonts w:cstheme="minorHAnsi"/>
                <w:b/>
                <w:bCs/>
                <w:caps/>
              </w:rPr>
            </w:pPr>
            <w:bookmarkStart w:id="1" w:name="APSF2" w:colFirst="0" w:colLast="0"/>
            <w:bookmarkEnd w:id="0"/>
            <w:r w:rsidRPr="008C7343">
              <w:rPr>
                <w:rFonts w:cstheme="minorHAnsi"/>
                <w:b/>
                <w:bCs/>
                <w:caps/>
              </w:rPr>
              <w:t xml:space="preserve">Recommended Action: </w:t>
            </w:r>
          </w:p>
        </w:tc>
        <w:tc>
          <w:tcPr>
            <w:tcW w:w="5130" w:type="dxa"/>
          </w:tcPr>
          <w:p w14:paraId="6F89F613" w14:textId="61C84300" w:rsidR="0045120B" w:rsidRPr="008212CA" w:rsidRDefault="00FC20E2" w:rsidP="00107842">
            <w:pPr>
              <w:spacing w:before="80" w:after="80"/>
              <w:rPr>
                <w:rFonts w:cstheme="minorHAnsi"/>
              </w:rPr>
            </w:pPr>
            <w:r>
              <w:rPr>
                <w:rFonts w:cstheme="minorHAnsi"/>
              </w:rPr>
              <w:t>R</w:t>
            </w:r>
            <w:r w:rsidR="00DB45E0">
              <w:rPr>
                <w:rFonts w:cstheme="minorHAnsi"/>
              </w:rPr>
              <w:t>ecommend amendments and/or adoption of the proposed permanent regulations related to temporary uses and structures.</w:t>
            </w:r>
          </w:p>
        </w:tc>
        <w:tc>
          <w:tcPr>
            <w:tcW w:w="2325" w:type="dxa"/>
            <w:vMerge/>
          </w:tcPr>
          <w:p w14:paraId="1AB22B1E" w14:textId="77777777" w:rsidR="0045120B" w:rsidRPr="009811E9" w:rsidRDefault="0045120B" w:rsidP="0098178F">
            <w:pPr>
              <w:ind w:firstLine="436"/>
              <w:rPr>
                <w:rFonts w:cstheme="minorHAnsi"/>
              </w:rPr>
            </w:pPr>
          </w:p>
        </w:tc>
      </w:tr>
    </w:tbl>
    <w:p w14:paraId="16967171" w14:textId="77777777" w:rsidR="00D705BB" w:rsidRPr="00D705BB" w:rsidRDefault="00D705BB" w:rsidP="00D705BB">
      <w:pPr>
        <w:spacing w:after="0" w:line="240" w:lineRule="auto"/>
        <w:rPr>
          <w:rFonts w:cstheme="minorHAnsi"/>
          <w:b/>
          <w:bCs/>
          <w:sz w:val="16"/>
          <w:szCs w:val="16"/>
        </w:rPr>
      </w:pPr>
    </w:p>
    <w:tbl>
      <w:tblPr>
        <w:tblStyle w:val="TableGrid"/>
        <w:tblW w:w="0" w:type="auto"/>
        <w:tblBorders>
          <w:top w:val="single" w:sz="12" w:space="0" w:color="auto"/>
          <w:left w:val="single" w:sz="12" w:space="0" w:color="auto"/>
          <w:bottom w:val="single" w:sz="12" w:space="0" w:color="auto"/>
          <w:right w:val="single" w:sz="12" w:space="0" w:color="auto"/>
        </w:tblBorders>
        <w:tblCellMar>
          <w:left w:w="86" w:type="dxa"/>
          <w:right w:w="86" w:type="dxa"/>
        </w:tblCellMar>
        <w:tblLook w:val="04A0" w:firstRow="1" w:lastRow="0" w:firstColumn="1" w:lastColumn="0" w:noHBand="0" w:noVBand="1"/>
        <w:tblCaption w:val="Molly McGuire, Sr. Planner"/>
      </w:tblPr>
      <w:tblGrid>
        <w:gridCol w:w="2595"/>
        <w:gridCol w:w="7455"/>
      </w:tblGrid>
      <w:tr w:rsidR="003554E4" w14:paraId="0AE1D358" w14:textId="77777777" w:rsidTr="00871D2D">
        <w:trPr>
          <w:trHeight w:val="432"/>
        </w:trPr>
        <w:tc>
          <w:tcPr>
            <w:tcW w:w="2595" w:type="dxa"/>
          </w:tcPr>
          <w:bookmarkEnd w:id="1"/>
          <w:p w14:paraId="248AB094" w14:textId="77777777" w:rsidR="003554E4" w:rsidRPr="0098178F" w:rsidRDefault="009227A4" w:rsidP="00D705BB">
            <w:pPr>
              <w:spacing w:before="80"/>
              <w:rPr>
                <w:rFonts w:cstheme="minorHAnsi"/>
                <w:b/>
                <w:bCs/>
                <w:caps/>
              </w:rPr>
            </w:pPr>
            <w:r>
              <w:rPr>
                <w:rFonts w:cstheme="minorHAnsi"/>
                <w:b/>
                <w:bCs/>
                <w:caps/>
              </w:rPr>
              <w:t>STAFF</w:t>
            </w:r>
            <w:r w:rsidR="003554E4">
              <w:rPr>
                <w:rFonts w:cstheme="minorHAnsi"/>
                <w:b/>
                <w:bCs/>
                <w:caps/>
              </w:rPr>
              <w:t>:</w:t>
            </w:r>
          </w:p>
        </w:tc>
        <w:tc>
          <w:tcPr>
            <w:tcW w:w="7455" w:type="dxa"/>
            <w:tcBorders>
              <w:bottom w:val="single" w:sz="4" w:space="0" w:color="auto"/>
            </w:tcBorders>
            <w:vAlign w:val="center"/>
          </w:tcPr>
          <w:p w14:paraId="77A4DDE7" w14:textId="192E97AA" w:rsidR="003554E4" w:rsidRDefault="00A46EB2" w:rsidP="00AB2FB3">
            <w:pPr>
              <w:rPr>
                <w:rFonts w:cstheme="minorHAnsi"/>
              </w:rPr>
            </w:pPr>
            <w:r>
              <w:rPr>
                <w:rFonts w:cstheme="minorHAnsi"/>
              </w:rPr>
              <w:t>Molly McGuire, Senior Planner</w:t>
            </w:r>
          </w:p>
        </w:tc>
      </w:tr>
      <w:tr w:rsidR="008C7343" w14:paraId="0347AB92" w14:textId="77777777" w:rsidTr="00871D2D">
        <w:trPr>
          <w:trHeight w:val="432"/>
        </w:trPr>
        <w:tc>
          <w:tcPr>
            <w:tcW w:w="2595" w:type="dxa"/>
          </w:tcPr>
          <w:p w14:paraId="14758427" w14:textId="77777777" w:rsidR="008C7343" w:rsidRPr="0098178F" w:rsidRDefault="0098178F" w:rsidP="00D705BB">
            <w:pPr>
              <w:spacing w:before="80"/>
              <w:rPr>
                <w:rFonts w:cstheme="minorHAnsi"/>
                <w:b/>
                <w:bCs/>
                <w:caps/>
              </w:rPr>
            </w:pPr>
            <w:r w:rsidRPr="0098178F">
              <w:rPr>
                <w:rFonts w:cstheme="minorHAnsi"/>
                <w:b/>
                <w:bCs/>
                <w:caps/>
              </w:rPr>
              <w:t>Exhibits</w:t>
            </w:r>
            <w:r w:rsidR="00947D88">
              <w:rPr>
                <w:rFonts w:cstheme="minorHAnsi"/>
                <w:b/>
                <w:bCs/>
                <w:caps/>
              </w:rPr>
              <w:t>:</w:t>
            </w:r>
            <w:r w:rsidRPr="0098178F">
              <w:rPr>
                <w:rFonts w:cstheme="minorHAnsi"/>
                <w:b/>
                <w:bCs/>
                <w:caps/>
              </w:rPr>
              <w:t xml:space="preserve"> </w:t>
            </w:r>
          </w:p>
        </w:tc>
        <w:tc>
          <w:tcPr>
            <w:tcW w:w="7455" w:type="dxa"/>
            <w:tcBorders>
              <w:top w:val="single" w:sz="4" w:space="0" w:color="auto"/>
            </w:tcBorders>
            <w:vAlign w:val="center"/>
          </w:tcPr>
          <w:p w14:paraId="7B5B93F2" w14:textId="34020A16" w:rsidR="00DB45E0" w:rsidRPr="000C6448" w:rsidRDefault="00A46EB2" w:rsidP="000C6448">
            <w:pPr>
              <w:pStyle w:val="ListParagraph"/>
              <w:numPr>
                <w:ilvl w:val="0"/>
                <w:numId w:val="1"/>
              </w:numPr>
              <w:tabs>
                <w:tab w:val="left" w:pos="270"/>
              </w:tabs>
              <w:ind w:left="270" w:hanging="285"/>
              <w:rPr>
                <w:rFonts w:cstheme="minorHAnsi"/>
              </w:rPr>
            </w:pPr>
            <w:bookmarkStart w:id="2" w:name="_Hlk190872164"/>
            <w:r>
              <w:rPr>
                <w:rFonts w:cstheme="minorHAnsi"/>
              </w:rPr>
              <w:t xml:space="preserve">Draft </w:t>
            </w:r>
            <w:r w:rsidR="00472149">
              <w:rPr>
                <w:rFonts w:cstheme="minorHAnsi"/>
              </w:rPr>
              <w:t>P</w:t>
            </w:r>
            <w:r w:rsidR="00F00A21">
              <w:rPr>
                <w:rFonts w:cstheme="minorHAnsi"/>
              </w:rPr>
              <w:t xml:space="preserve">ermanent </w:t>
            </w:r>
            <w:r w:rsidR="00472149">
              <w:rPr>
                <w:rFonts w:cstheme="minorHAnsi"/>
              </w:rPr>
              <w:t>R</w:t>
            </w:r>
            <w:r w:rsidR="00F00A21">
              <w:rPr>
                <w:rFonts w:cstheme="minorHAnsi"/>
              </w:rPr>
              <w:t>egulations</w:t>
            </w:r>
            <w:r w:rsidR="00472149">
              <w:rPr>
                <w:rFonts w:cstheme="minorHAnsi"/>
              </w:rPr>
              <w:t xml:space="preserve"> for Temporary Uses and Structures</w:t>
            </w:r>
            <w:bookmarkEnd w:id="2"/>
          </w:p>
        </w:tc>
      </w:tr>
    </w:tbl>
    <w:p w14:paraId="6F8DAEDE" w14:textId="77777777" w:rsidR="0098178F" w:rsidRPr="00EE71F2" w:rsidRDefault="0098178F" w:rsidP="00820CA5">
      <w:pPr>
        <w:spacing w:after="0" w:line="240" w:lineRule="auto"/>
        <w:rPr>
          <w:rFonts w:cstheme="minorHAnsi"/>
          <w:b/>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0070"/>
      </w:tblGrid>
      <w:tr w:rsidR="00604FAF" w:rsidRPr="007C6996" w14:paraId="580D655F" w14:textId="77777777" w:rsidTr="00C84C42">
        <w:tc>
          <w:tcPr>
            <w:tcW w:w="10070" w:type="dxa"/>
            <w:tcBorders>
              <w:top w:val="single" w:sz="4" w:space="0" w:color="auto"/>
              <w:left w:val="single" w:sz="4" w:space="0" w:color="auto"/>
              <w:bottom w:val="single" w:sz="4" w:space="0" w:color="auto"/>
              <w:right w:val="single" w:sz="4" w:space="0" w:color="auto"/>
            </w:tcBorders>
            <w:shd w:val="clear" w:color="auto" w:fill="0068B4"/>
          </w:tcPr>
          <w:p w14:paraId="297A68A6" w14:textId="77777777" w:rsidR="00604FAF" w:rsidRPr="007C6996" w:rsidRDefault="00B11706" w:rsidP="00820CA5">
            <w:pPr>
              <w:rPr>
                <w:rFonts w:cstheme="minorHAnsi"/>
                <w:b/>
                <w:bCs/>
                <w:sz w:val="28"/>
                <w:szCs w:val="28"/>
              </w:rPr>
            </w:pPr>
            <w:bookmarkStart w:id="3" w:name="_Hlk97198739"/>
            <w:r w:rsidRPr="00C84C42">
              <w:rPr>
                <w:rFonts w:cstheme="minorHAnsi"/>
                <w:b/>
                <w:bCs/>
                <w:color w:val="FFFFFF" w:themeColor="background1"/>
                <w:sz w:val="28"/>
                <w:szCs w:val="28"/>
              </w:rPr>
              <w:t>EXECUTIVE SUMMARY</w:t>
            </w:r>
          </w:p>
        </w:tc>
      </w:tr>
      <w:tr w:rsidR="00604FAF" w:rsidRPr="007C6996" w14:paraId="5A8136E9" w14:textId="77777777" w:rsidTr="00E01B76">
        <w:tc>
          <w:tcPr>
            <w:tcW w:w="10070" w:type="dxa"/>
            <w:tcBorders>
              <w:top w:val="single" w:sz="4" w:space="0" w:color="auto"/>
            </w:tcBorders>
          </w:tcPr>
          <w:p w14:paraId="446F1F2D" w14:textId="36C0DB32" w:rsidR="001342EE" w:rsidRDefault="003D6FEC" w:rsidP="00BF4D32">
            <w:pPr>
              <w:spacing w:before="120"/>
              <w:rPr>
                <w:rFonts w:cstheme="minorHAnsi"/>
              </w:rPr>
            </w:pPr>
            <w:r>
              <w:rPr>
                <w:rFonts w:cstheme="minorHAnsi"/>
              </w:rPr>
              <w:t xml:space="preserve">The purpose of this agenda bill is to </w:t>
            </w:r>
            <w:r w:rsidR="00DB45E0">
              <w:rPr>
                <w:rFonts w:cstheme="minorHAnsi"/>
              </w:rPr>
              <w:t>recommend</w:t>
            </w:r>
            <w:r>
              <w:rPr>
                <w:rFonts w:cstheme="minorHAnsi"/>
              </w:rPr>
              <w:t xml:space="preserve"> the adoption of permanent regulations for temporary uses and structures </w:t>
            </w:r>
            <w:r w:rsidR="00CB1E48">
              <w:rPr>
                <w:rFonts w:cstheme="minorHAnsi"/>
              </w:rPr>
              <w:t>in place of</w:t>
            </w:r>
            <w:r>
              <w:rPr>
                <w:rFonts w:cstheme="minorHAnsi"/>
              </w:rPr>
              <w:t xml:space="preserve"> interim regulations which were originally adopted on </w:t>
            </w:r>
            <w:r w:rsidR="00DF3016">
              <w:rPr>
                <w:rFonts w:cstheme="minorHAnsi"/>
              </w:rPr>
              <w:t>June 4, 2024</w:t>
            </w:r>
            <w:r w:rsidR="002E11FD">
              <w:rPr>
                <w:rFonts w:cstheme="minorHAnsi"/>
              </w:rPr>
              <w:t>,</w:t>
            </w:r>
            <w:r w:rsidR="00DF3016">
              <w:rPr>
                <w:rFonts w:cstheme="minorHAnsi"/>
              </w:rPr>
              <w:t xml:space="preserve"> under </w:t>
            </w:r>
            <w:hyperlink r:id="rId9" w:history="1">
              <w:r w:rsidR="00DF3016" w:rsidRPr="002E11FD">
                <w:rPr>
                  <w:rStyle w:val="Hyperlink"/>
                  <w:rFonts w:cstheme="minorHAnsi"/>
                </w:rPr>
                <w:t>Ordinance No. 24C-07</w:t>
              </w:r>
            </w:hyperlink>
            <w:r w:rsidR="00DF3016">
              <w:rPr>
                <w:rFonts w:cstheme="minorHAnsi"/>
              </w:rPr>
              <w:t xml:space="preserve"> and </w:t>
            </w:r>
            <w:r w:rsidR="002A7F84">
              <w:rPr>
                <w:rFonts w:cstheme="minorHAnsi"/>
              </w:rPr>
              <w:t xml:space="preserve">renewed for an additional 6-months on May 20, 2025 under </w:t>
            </w:r>
            <w:hyperlink r:id="rId10" w:history="1">
              <w:r w:rsidR="002A7F84" w:rsidRPr="00F54AE9">
                <w:rPr>
                  <w:rStyle w:val="Hyperlink"/>
                  <w:rFonts w:cstheme="minorHAnsi"/>
                </w:rPr>
                <w:t>Ordinance No. 25C-07</w:t>
              </w:r>
            </w:hyperlink>
            <w:r w:rsidR="00DF3016">
              <w:rPr>
                <w:rFonts w:cstheme="minorHAnsi"/>
              </w:rPr>
              <w:t xml:space="preserve">. </w:t>
            </w:r>
          </w:p>
          <w:p w14:paraId="0006BE01" w14:textId="4F576BBB" w:rsidR="008E501E" w:rsidRDefault="008E501E" w:rsidP="008E501E">
            <w:pPr>
              <w:pStyle w:val="ListParagraph"/>
              <w:numPr>
                <w:ilvl w:val="0"/>
                <w:numId w:val="2"/>
              </w:numPr>
              <w:spacing w:before="120"/>
            </w:pPr>
            <w:r>
              <w:t xml:space="preserve">Temporary uses and structures are development or activities that take place on a property for a </w:t>
            </w:r>
            <w:r w:rsidR="0025760D">
              <w:t>limited duration</w:t>
            </w:r>
            <w:r>
              <w:t xml:space="preserve">. They can include a wide range of development and activities from garage sales to outdoor festivals. </w:t>
            </w:r>
          </w:p>
          <w:p w14:paraId="67546595" w14:textId="4E6DB385" w:rsidR="008E501E" w:rsidRDefault="008E501E" w:rsidP="008E501E">
            <w:pPr>
              <w:pStyle w:val="ListParagraph"/>
              <w:numPr>
                <w:ilvl w:val="0"/>
                <w:numId w:val="2"/>
              </w:numPr>
              <w:spacing w:before="120"/>
            </w:pPr>
            <w:r>
              <w:t>Prior to 2024, the City did not have a permit process for temporary uses or structures and the development code lacked clarity about how such structures and uses were regulated.</w:t>
            </w:r>
            <w:r w:rsidR="005C5F4D">
              <w:t xml:space="preserve"> As a result, some temporary use</w:t>
            </w:r>
            <w:r w:rsidR="004D1ABA">
              <w:t>s</w:t>
            </w:r>
            <w:r w:rsidR="005C5F4D">
              <w:t xml:space="preserve"> and structures were not allowed.</w:t>
            </w:r>
          </w:p>
          <w:p w14:paraId="61B48462" w14:textId="4D348639" w:rsidR="00782D1A" w:rsidRDefault="002E11FD" w:rsidP="00CB1E48">
            <w:pPr>
              <w:pStyle w:val="ListParagraph"/>
              <w:numPr>
                <w:ilvl w:val="0"/>
                <w:numId w:val="2"/>
              </w:numPr>
              <w:spacing w:before="120"/>
            </w:pPr>
            <w:r>
              <w:t>At its December 5, 2023</w:t>
            </w:r>
            <w:r w:rsidR="006A7E16">
              <w:t xml:space="preserve"> meeting</w:t>
            </w:r>
            <w:r>
              <w:t>, t</w:t>
            </w:r>
            <w:r w:rsidR="00782D1A">
              <w:t xml:space="preserve">he City Council docketed a project to develop regulations for temporary uses and structures when it approved </w:t>
            </w:r>
            <w:hyperlink r:id="rId11" w:history="1">
              <w:r w:rsidR="00782D1A" w:rsidRPr="008E501E">
                <w:rPr>
                  <w:rStyle w:val="Hyperlink"/>
                </w:rPr>
                <w:t>Resolution</w:t>
              </w:r>
              <w:r w:rsidR="008E501E" w:rsidRPr="008E501E">
                <w:rPr>
                  <w:rStyle w:val="Hyperlink"/>
                </w:rPr>
                <w:t xml:space="preserve"> No.</w:t>
              </w:r>
              <w:r w:rsidR="00782D1A" w:rsidRPr="008E501E">
                <w:rPr>
                  <w:rStyle w:val="Hyperlink"/>
                </w:rPr>
                <w:t xml:space="preserve"> 1655</w:t>
              </w:r>
            </w:hyperlink>
            <w:r w:rsidR="00782D1A">
              <w:t>.</w:t>
            </w:r>
          </w:p>
          <w:p w14:paraId="4BC5626E" w14:textId="3DF9F110" w:rsidR="00782D1A" w:rsidRDefault="00782D1A" w:rsidP="00CB1E48">
            <w:pPr>
              <w:pStyle w:val="ListParagraph"/>
              <w:numPr>
                <w:ilvl w:val="0"/>
                <w:numId w:val="2"/>
              </w:numPr>
              <w:spacing w:before="120"/>
            </w:pPr>
            <w:r>
              <w:t xml:space="preserve">On June 4, 2024, the City Council adopted Ordinance </w:t>
            </w:r>
            <w:r w:rsidR="00DE6939">
              <w:t xml:space="preserve">No. </w:t>
            </w:r>
            <w:r>
              <w:t>24C-07, which established the following:</w:t>
            </w:r>
          </w:p>
          <w:p w14:paraId="03723786" w14:textId="32552149" w:rsidR="00782D1A" w:rsidRDefault="00782D1A" w:rsidP="00782D1A">
            <w:pPr>
              <w:pStyle w:val="ListParagraph"/>
              <w:numPr>
                <w:ilvl w:val="1"/>
                <w:numId w:val="2"/>
              </w:numPr>
              <w:spacing w:before="120"/>
            </w:pPr>
            <w:r>
              <w:t>Interim regulations and permitting procedures for temporary structures and uses, and</w:t>
            </w:r>
          </w:p>
          <w:p w14:paraId="07B7E111" w14:textId="091DF1A7" w:rsidR="00782D1A" w:rsidRDefault="00782D1A" w:rsidP="00DF3016">
            <w:pPr>
              <w:pStyle w:val="ListParagraph"/>
              <w:numPr>
                <w:ilvl w:val="1"/>
                <w:numId w:val="2"/>
              </w:numPr>
              <w:spacing w:before="120"/>
            </w:pPr>
            <w:r>
              <w:t>A work plan for developing permanent regulations for temporary structures and uses by the second quarter of 2025.</w:t>
            </w:r>
          </w:p>
          <w:p w14:paraId="438B7C01" w14:textId="621059E4" w:rsidR="002E11FD" w:rsidRDefault="002E11FD" w:rsidP="00DF3016">
            <w:pPr>
              <w:pStyle w:val="ListParagraph"/>
              <w:numPr>
                <w:ilvl w:val="1"/>
                <w:numId w:val="2"/>
              </w:numPr>
              <w:spacing w:before="120"/>
            </w:pPr>
            <w:r>
              <w:t>The interim regulations will expire in June 2025 unless the City adopts permanent regulations or renews the interim regulations.</w:t>
            </w:r>
          </w:p>
          <w:p w14:paraId="212D30C2" w14:textId="3629B536" w:rsidR="005C5F4D" w:rsidRDefault="005C5F4D" w:rsidP="00CB1E48">
            <w:pPr>
              <w:pStyle w:val="ListParagraph"/>
              <w:numPr>
                <w:ilvl w:val="0"/>
                <w:numId w:val="2"/>
              </w:numPr>
              <w:spacing w:before="120"/>
            </w:pPr>
            <w:r>
              <w:t>Staff prepared</w:t>
            </w:r>
            <w:r w:rsidR="0025760D">
              <w:t xml:space="preserve"> an initial</w:t>
            </w:r>
            <w:r>
              <w:t xml:space="preserve"> draft</w:t>
            </w:r>
            <w:r w:rsidR="0025760D">
              <w:t xml:space="preserve"> of</w:t>
            </w:r>
            <w:r>
              <w:t xml:space="preserve"> permanent regulations for temporary uses and structures for the Planning Commission to review and provide initial comments on.</w:t>
            </w:r>
          </w:p>
          <w:p w14:paraId="009CC248" w14:textId="027B8DAC" w:rsidR="005C5F4D" w:rsidRDefault="005C5F4D" w:rsidP="00CB1E48">
            <w:pPr>
              <w:pStyle w:val="ListParagraph"/>
              <w:numPr>
                <w:ilvl w:val="0"/>
                <w:numId w:val="2"/>
              </w:numPr>
              <w:spacing w:before="120"/>
            </w:pPr>
            <w:r>
              <w:t>The draft regulations would establish:</w:t>
            </w:r>
          </w:p>
          <w:p w14:paraId="5FC94CB3" w14:textId="77777777" w:rsidR="005C5F4D" w:rsidRDefault="005C5F4D" w:rsidP="005C5F4D">
            <w:pPr>
              <w:pStyle w:val="ListParagraph"/>
              <w:numPr>
                <w:ilvl w:val="1"/>
                <w:numId w:val="2"/>
              </w:numPr>
              <w:spacing w:before="120"/>
            </w:pPr>
            <w:r>
              <w:t>Development standards for temporary uses and structures on real property not owned by the City of Mercer Island (“private property”);</w:t>
            </w:r>
          </w:p>
          <w:p w14:paraId="01B7F0D3" w14:textId="5FECC7E1" w:rsidR="005C5F4D" w:rsidRDefault="005C5F4D" w:rsidP="005C5F4D">
            <w:pPr>
              <w:pStyle w:val="ListParagraph"/>
              <w:numPr>
                <w:ilvl w:val="1"/>
                <w:numId w:val="2"/>
              </w:numPr>
              <w:spacing w:before="120"/>
            </w:pPr>
            <w:r>
              <w:t>Development regulations to continue a pandemic-era allowance for outdoor dining use within public rights of way and private parking spaces; and</w:t>
            </w:r>
          </w:p>
          <w:p w14:paraId="22BA5EF5" w14:textId="77777777" w:rsidR="005C5F4D" w:rsidRDefault="005C5F4D" w:rsidP="005C5F4D">
            <w:pPr>
              <w:pStyle w:val="ListParagraph"/>
              <w:numPr>
                <w:ilvl w:val="1"/>
                <w:numId w:val="2"/>
              </w:numPr>
              <w:spacing w:before="120"/>
            </w:pPr>
            <w:r>
              <w:t>A permitting process for temporary uses and structures.</w:t>
            </w:r>
          </w:p>
          <w:p w14:paraId="74EBC66A" w14:textId="0A60DF23" w:rsidR="00DB45E0" w:rsidRDefault="00DB45E0" w:rsidP="005C5F4D">
            <w:pPr>
              <w:pStyle w:val="ListParagraph"/>
              <w:numPr>
                <w:ilvl w:val="0"/>
                <w:numId w:val="2"/>
              </w:numPr>
              <w:spacing w:before="120"/>
            </w:pPr>
            <w:r>
              <w:t xml:space="preserve">On February 26, 2025, the Planning Commission held a first reading of the draft permanent regulations and provided initial feedback to staff. </w:t>
            </w:r>
          </w:p>
          <w:p w14:paraId="1234021D" w14:textId="060DA935" w:rsidR="00DB45E0" w:rsidRDefault="00DB45E0" w:rsidP="00DB45E0">
            <w:pPr>
              <w:pStyle w:val="ListParagraph"/>
              <w:numPr>
                <w:ilvl w:val="0"/>
                <w:numId w:val="2"/>
              </w:numPr>
              <w:spacing w:before="120"/>
            </w:pPr>
            <w:r>
              <w:lastRenderedPageBreak/>
              <w:t>The Planning Commission provided comments and proposed amendments to the draft regulations, which were compiled and categorized by staf</w:t>
            </w:r>
            <w:r w:rsidR="005F7906">
              <w:t xml:space="preserve">f and can be found in </w:t>
            </w:r>
            <w:hyperlink r:id="rId12" w:history="1">
              <w:r w:rsidR="005F7906" w:rsidRPr="00860B6F">
                <w:rPr>
                  <w:rStyle w:val="Hyperlink"/>
                </w:rPr>
                <w:t>PCB25-</w:t>
              </w:r>
              <w:r w:rsidR="009D0CC9" w:rsidRPr="00860B6F">
                <w:rPr>
                  <w:rStyle w:val="Hyperlink"/>
                </w:rPr>
                <w:t>12</w:t>
              </w:r>
            </w:hyperlink>
            <w:r>
              <w:t xml:space="preserve">. </w:t>
            </w:r>
          </w:p>
          <w:p w14:paraId="4AA624DD" w14:textId="1021AF3F" w:rsidR="005F7906" w:rsidRDefault="005F7906" w:rsidP="005F7906">
            <w:pPr>
              <w:pStyle w:val="ListParagraph"/>
              <w:numPr>
                <w:ilvl w:val="0"/>
                <w:numId w:val="2"/>
              </w:numPr>
              <w:spacing w:before="120"/>
            </w:pPr>
            <w:r>
              <w:t>On June 10, 2025, the Planning Commission held a public hearing to discuss the proposed amendments and draft regulations and directed staff to draft additional amendments.</w:t>
            </w:r>
          </w:p>
          <w:p w14:paraId="1E8C3FB2" w14:textId="77777777" w:rsidR="0025760D" w:rsidRDefault="0025760D" w:rsidP="0025760D">
            <w:pPr>
              <w:pStyle w:val="ListParagraph"/>
              <w:numPr>
                <w:ilvl w:val="0"/>
                <w:numId w:val="2"/>
              </w:numPr>
              <w:spacing w:before="120"/>
            </w:pPr>
            <w:r>
              <w:t>Staff updated the draft regulations to incorporate the Planning Commission input provided on June 10, 2025 (Exhibit 1).</w:t>
            </w:r>
          </w:p>
          <w:p w14:paraId="14F6C8C7" w14:textId="73A3A408" w:rsidR="005F7906" w:rsidRPr="00BC4D3C" w:rsidRDefault="005F7906" w:rsidP="006F395E">
            <w:pPr>
              <w:pStyle w:val="ListParagraph"/>
              <w:numPr>
                <w:ilvl w:val="0"/>
                <w:numId w:val="2"/>
              </w:numPr>
              <w:spacing w:before="120"/>
            </w:pPr>
            <w:r>
              <w:t xml:space="preserve">The Planning Commission should </w:t>
            </w:r>
            <w:r w:rsidR="0025760D">
              <w:t>review the updated</w:t>
            </w:r>
            <w:r>
              <w:t xml:space="preserve"> draft regulations</w:t>
            </w:r>
            <w:r w:rsidR="0025760D">
              <w:t xml:space="preserve"> and arrive at a recommendation during</w:t>
            </w:r>
            <w:r>
              <w:t xml:space="preserve"> its meeting on July 23, 2025.</w:t>
            </w:r>
          </w:p>
        </w:tc>
      </w:tr>
    </w:tbl>
    <w:p w14:paraId="2A246076" w14:textId="77777777" w:rsidR="00BB343F" w:rsidRPr="007C6996" w:rsidRDefault="00BB343F" w:rsidP="00820CA5">
      <w:pPr>
        <w:spacing w:after="0" w:line="240" w:lineRule="auto"/>
        <w:rPr>
          <w:rFonts w:cstheme="minorHAns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0070"/>
      </w:tblGrid>
      <w:tr w:rsidR="00F71CA9" w:rsidRPr="007C6996" w14:paraId="0E324130" w14:textId="77777777" w:rsidTr="007B2D33">
        <w:tc>
          <w:tcPr>
            <w:tcW w:w="10070" w:type="dxa"/>
            <w:tcBorders>
              <w:top w:val="single" w:sz="4" w:space="0" w:color="auto"/>
              <w:left w:val="single" w:sz="4" w:space="0" w:color="auto"/>
              <w:right w:val="single" w:sz="4" w:space="0" w:color="auto"/>
            </w:tcBorders>
            <w:shd w:val="clear" w:color="auto" w:fill="0068B4"/>
          </w:tcPr>
          <w:p w14:paraId="50956436" w14:textId="77777777" w:rsidR="00F71CA9" w:rsidRPr="007C6996" w:rsidRDefault="00F71CA9">
            <w:pPr>
              <w:rPr>
                <w:rFonts w:cstheme="minorHAnsi"/>
                <w:b/>
                <w:bCs/>
                <w:sz w:val="28"/>
                <w:szCs w:val="28"/>
              </w:rPr>
            </w:pPr>
            <w:r w:rsidRPr="00C84C42">
              <w:rPr>
                <w:rFonts w:cstheme="minorHAnsi"/>
                <w:b/>
                <w:bCs/>
                <w:color w:val="FFFFFF" w:themeColor="background1"/>
                <w:sz w:val="28"/>
                <w:szCs w:val="28"/>
              </w:rPr>
              <w:t>BACKGROUND</w:t>
            </w:r>
          </w:p>
        </w:tc>
      </w:tr>
      <w:tr w:rsidR="00F71CA9" w:rsidRPr="007C6996" w14:paraId="2631E2F9" w14:textId="77777777" w:rsidTr="007B2D33">
        <w:tc>
          <w:tcPr>
            <w:tcW w:w="10070" w:type="dxa"/>
          </w:tcPr>
          <w:p w14:paraId="15B9C3DD" w14:textId="0A213657" w:rsidR="00DE6939" w:rsidRDefault="00DB45E0" w:rsidP="00FC5DF1">
            <w:pPr>
              <w:spacing w:before="120" w:after="120"/>
              <w:rPr>
                <w:rFonts w:cstheme="minorHAnsi"/>
              </w:rPr>
            </w:pPr>
            <w:r>
              <w:rPr>
                <w:rFonts w:cstheme="minorHAnsi"/>
              </w:rPr>
              <w:t xml:space="preserve">In 2023, the City Council approved </w:t>
            </w:r>
            <w:hyperlink r:id="rId13" w:history="1">
              <w:r w:rsidRPr="008E6D65">
                <w:rPr>
                  <w:rStyle w:val="Hyperlink"/>
                  <w:rFonts w:cstheme="minorHAnsi"/>
                </w:rPr>
                <w:t>Resolution No. 1655</w:t>
              </w:r>
            </w:hyperlink>
            <w:r>
              <w:rPr>
                <w:rFonts w:cstheme="minorHAnsi"/>
              </w:rPr>
              <w:t xml:space="preserve"> setting the 2024 Docket, which added </w:t>
            </w:r>
            <w:r w:rsidR="008E6D65">
              <w:rPr>
                <w:rFonts w:cstheme="minorHAnsi"/>
              </w:rPr>
              <w:t>Comprehensive</w:t>
            </w:r>
            <w:r>
              <w:rPr>
                <w:rFonts w:cstheme="minorHAnsi"/>
              </w:rPr>
              <w:t xml:space="preserve"> Plan and development regulation amendments to the City’s Work Plan. City Council directed staff to proceed with developing interim regulations to address two docketed items related to temporary uses and structures and renew the existing interim regulations for outdoor dining. More information on the background of the interim regulations is provided in </w:t>
            </w:r>
            <w:hyperlink r:id="rId14" w:history="1">
              <w:r w:rsidRPr="00706417">
                <w:rPr>
                  <w:rStyle w:val="Hyperlink"/>
                  <w:rFonts w:cstheme="minorHAnsi"/>
                </w:rPr>
                <w:t>PCB25-05</w:t>
              </w:r>
            </w:hyperlink>
            <w:r>
              <w:rPr>
                <w:rFonts w:cstheme="minorHAnsi"/>
              </w:rPr>
              <w:t xml:space="preserve">, from the February 26, 2025 Planning Commission meeting. </w:t>
            </w:r>
          </w:p>
          <w:p w14:paraId="0AD6C9E1" w14:textId="390EDC2B" w:rsidR="00DE6939" w:rsidRDefault="008E6D65" w:rsidP="00FC5DF1">
            <w:pPr>
              <w:spacing w:after="120"/>
              <w:rPr>
                <w:rFonts w:cstheme="minorHAnsi"/>
              </w:rPr>
            </w:pPr>
            <w:r>
              <w:rPr>
                <w:rFonts w:cstheme="minorHAnsi"/>
              </w:rPr>
              <w:t xml:space="preserve">The Planning Commission held a regular meeting on February 26, </w:t>
            </w:r>
            <w:r w:rsidR="009E2927">
              <w:rPr>
                <w:rFonts w:cstheme="minorHAnsi"/>
              </w:rPr>
              <w:t>2025,</w:t>
            </w:r>
            <w:r>
              <w:rPr>
                <w:rFonts w:cstheme="minorHAnsi"/>
              </w:rPr>
              <w:t xml:space="preserve"> where it </w:t>
            </w:r>
            <w:r w:rsidR="00A41E72">
              <w:rPr>
                <w:rFonts w:cstheme="minorHAnsi"/>
              </w:rPr>
              <w:t>had</w:t>
            </w:r>
            <w:r>
              <w:rPr>
                <w:rFonts w:cstheme="minorHAnsi"/>
              </w:rPr>
              <w:t xml:space="preserve"> the first reading of the draft regulations for temporary uses and structures. The Commission provided initial feedback on the draft regulations and asked staff questions related to various topics. Staff requested that the Planning Commissioners provide comments, amendments, and questions and established a deadline for these materials to be submitted, prior to the </w:t>
            </w:r>
            <w:r w:rsidR="005056A6">
              <w:rPr>
                <w:rFonts w:cstheme="minorHAnsi"/>
              </w:rPr>
              <w:t xml:space="preserve">previously scheduled </w:t>
            </w:r>
            <w:r>
              <w:rPr>
                <w:rFonts w:cstheme="minorHAnsi"/>
              </w:rPr>
              <w:t xml:space="preserve">March 26, </w:t>
            </w:r>
            <w:r w:rsidR="009E2927">
              <w:rPr>
                <w:rFonts w:cstheme="minorHAnsi"/>
              </w:rPr>
              <w:t>2025,</w:t>
            </w:r>
            <w:r>
              <w:rPr>
                <w:rFonts w:cstheme="minorHAnsi"/>
              </w:rPr>
              <w:t xml:space="preserve"> public hearing.</w:t>
            </w:r>
            <w:r w:rsidR="005056A6">
              <w:rPr>
                <w:rFonts w:cstheme="minorHAnsi"/>
              </w:rPr>
              <w:t xml:space="preserve"> </w:t>
            </w:r>
            <w:proofErr w:type="gramStart"/>
            <w:r w:rsidR="005056A6">
              <w:rPr>
                <w:rFonts w:cstheme="minorHAnsi"/>
              </w:rPr>
              <w:t>The March</w:t>
            </w:r>
            <w:proofErr w:type="gramEnd"/>
            <w:r w:rsidR="005056A6">
              <w:rPr>
                <w:rFonts w:cstheme="minorHAnsi"/>
              </w:rPr>
              <w:t xml:space="preserve"> 26, </w:t>
            </w:r>
            <w:r w:rsidR="009E2927">
              <w:rPr>
                <w:rFonts w:cstheme="minorHAnsi"/>
              </w:rPr>
              <w:t>2025,</w:t>
            </w:r>
            <w:r w:rsidR="005056A6">
              <w:rPr>
                <w:rFonts w:cstheme="minorHAnsi"/>
              </w:rPr>
              <w:t xml:space="preserve"> public hearing was canceled and rescheduled for June 10, 2025. </w:t>
            </w:r>
            <w:r>
              <w:rPr>
                <w:rFonts w:cstheme="minorHAnsi"/>
              </w:rPr>
              <w:t xml:space="preserve"> </w:t>
            </w:r>
          </w:p>
          <w:p w14:paraId="14542C42" w14:textId="0BD78A09" w:rsidR="00B5634C" w:rsidRPr="006F395E" w:rsidRDefault="00B5634C" w:rsidP="00FC5DF1">
            <w:pPr>
              <w:spacing w:after="120"/>
              <w:rPr>
                <w:rFonts w:cstheme="minorHAnsi"/>
                <w:b/>
                <w:bCs/>
              </w:rPr>
            </w:pPr>
            <w:r>
              <w:rPr>
                <w:rFonts w:cstheme="minorHAnsi"/>
                <w:b/>
                <w:bCs/>
              </w:rPr>
              <w:t>Planning Commission Feedback</w:t>
            </w:r>
          </w:p>
          <w:p w14:paraId="28130238" w14:textId="28FBEAB7" w:rsidR="009E2927" w:rsidRDefault="005F7906" w:rsidP="00FC5DF1">
            <w:pPr>
              <w:spacing w:after="120"/>
              <w:rPr>
                <w:rFonts w:cstheme="minorHAnsi"/>
              </w:rPr>
            </w:pPr>
            <w:r>
              <w:rPr>
                <w:rFonts w:cstheme="minorHAnsi"/>
              </w:rPr>
              <w:t xml:space="preserve">During the June 10, </w:t>
            </w:r>
            <w:proofErr w:type="gramStart"/>
            <w:r>
              <w:rPr>
                <w:rFonts w:cstheme="minorHAnsi"/>
              </w:rPr>
              <w:t>2025</w:t>
            </w:r>
            <w:proofErr w:type="gramEnd"/>
            <w:r>
              <w:rPr>
                <w:rFonts w:cstheme="minorHAnsi"/>
              </w:rPr>
              <w:t xml:space="preserve"> public hearing, the Planning Commission made motions to recommend the following </w:t>
            </w:r>
            <w:r w:rsidR="009E2927">
              <w:rPr>
                <w:rFonts w:cstheme="minorHAnsi"/>
              </w:rPr>
              <w:t xml:space="preserve">Log </w:t>
            </w:r>
            <w:r w:rsidR="00051739">
              <w:rPr>
                <w:rFonts w:cstheme="minorHAnsi"/>
              </w:rPr>
              <w:t>Numbers</w:t>
            </w:r>
            <w:r w:rsidR="00FD4423">
              <w:rPr>
                <w:rFonts w:cstheme="minorHAnsi"/>
              </w:rPr>
              <w:t xml:space="preserve"> be incorporated into the draft of code amendments</w:t>
            </w:r>
            <w:r w:rsidR="009E2927">
              <w:rPr>
                <w:rFonts w:cstheme="minorHAnsi"/>
              </w:rPr>
              <w:t>:</w:t>
            </w:r>
          </w:p>
          <w:p w14:paraId="40BBA314" w14:textId="3AF13A23" w:rsidR="00D61AAF" w:rsidRDefault="009E2927" w:rsidP="00FC5DF1">
            <w:pPr>
              <w:spacing w:after="120"/>
              <w:ind w:left="720"/>
              <w:rPr>
                <w:rFonts w:cstheme="minorHAnsi"/>
              </w:rPr>
            </w:pPr>
            <w:r>
              <w:rPr>
                <w:rFonts w:cstheme="minorHAnsi"/>
              </w:rPr>
              <w:t xml:space="preserve">1, 2b, 3b, 6a, 6b, 7c, </w:t>
            </w:r>
            <w:r w:rsidR="00394CA7">
              <w:rPr>
                <w:rFonts w:cstheme="minorHAnsi"/>
              </w:rPr>
              <w:t xml:space="preserve">10, </w:t>
            </w:r>
            <w:r>
              <w:rPr>
                <w:rFonts w:cstheme="minorHAnsi"/>
              </w:rPr>
              <w:t>11a, 12b, 13b, 14b, 15</w:t>
            </w:r>
            <w:r w:rsidR="00273D4A">
              <w:rPr>
                <w:rFonts w:cstheme="minorHAnsi"/>
              </w:rPr>
              <w:t>d</w:t>
            </w:r>
            <w:r>
              <w:rPr>
                <w:rFonts w:cstheme="minorHAnsi"/>
              </w:rPr>
              <w:t xml:space="preserve"> (as amended)</w:t>
            </w:r>
            <w:r w:rsidR="00394CA7">
              <w:rPr>
                <w:rFonts w:cstheme="minorHAnsi"/>
              </w:rPr>
              <w:t>, 17, 21, 22, and 24</w:t>
            </w:r>
            <w:r>
              <w:rPr>
                <w:rFonts w:cstheme="minorHAnsi"/>
              </w:rPr>
              <w:t xml:space="preserve">. </w:t>
            </w:r>
          </w:p>
          <w:p w14:paraId="4401C36A" w14:textId="58551895" w:rsidR="009E2927" w:rsidRDefault="009E2927" w:rsidP="00FC5DF1">
            <w:pPr>
              <w:spacing w:after="120"/>
              <w:rPr>
                <w:rFonts w:cstheme="minorHAnsi"/>
              </w:rPr>
            </w:pPr>
            <w:r>
              <w:rPr>
                <w:rFonts w:cstheme="minorHAnsi"/>
              </w:rPr>
              <w:t>These amendments are shown in strikethrough/</w:t>
            </w:r>
            <w:r w:rsidR="00051739">
              <w:rPr>
                <w:rFonts w:cstheme="minorHAnsi"/>
              </w:rPr>
              <w:t xml:space="preserve">underline format </w:t>
            </w:r>
            <w:r>
              <w:rPr>
                <w:rFonts w:cstheme="minorHAnsi"/>
              </w:rPr>
              <w:t>in Exhibit 1.</w:t>
            </w:r>
            <w:r w:rsidR="00860B6F">
              <w:rPr>
                <w:rFonts w:cstheme="minorHAnsi"/>
              </w:rPr>
              <w:t xml:space="preserve"> Details of these amendments can be found in </w:t>
            </w:r>
            <w:hyperlink r:id="rId15" w:history="1">
              <w:r w:rsidR="00860B6F" w:rsidRPr="00860B6F">
                <w:rPr>
                  <w:rStyle w:val="Hyperlink"/>
                  <w:rFonts w:cstheme="minorHAnsi"/>
                </w:rPr>
                <w:t>PCB25-12</w:t>
              </w:r>
            </w:hyperlink>
            <w:r w:rsidR="00860B6F">
              <w:rPr>
                <w:rFonts w:cstheme="minorHAnsi"/>
              </w:rPr>
              <w:t xml:space="preserve">. </w:t>
            </w:r>
            <w:r>
              <w:rPr>
                <w:rFonts w:cstheme="minorHAnsi"/>
              </w:rPr>
              <w:t xml:space="preserve"> </w:t>
            </w:r>
          </w:p>
          <w:p w14:paraId="4C4DCB68" w14:textId="669A70FE" w:rsidR="00FD4423" w:rsidRPr="006F395E" w:rsidRDefault="00FD4423" w:rsidP="00FC5DF1">
            <w:pPr>
              <w:spacing w:after="240"/>
              <w:rPr>
                <w:rFonts w:cstheme="minorHAnsi"/>
                <w:u w:val="single"/>
              </w:rPr>
            </w:pPr>
            <w:r w:rsidRPr="006F395E">
              <w:rPr>
                <w:u w:val="single"/>
              </w:rPr>
              <w:t>Buckets</w:t>
            </w:r>
          </w:p>
          <w:p w14:paraId="4D3D4459" w14:textId="03016147" w:rsidR="009E2927" w:rsidRDefault="009E2927" w:rsidP="00FC5DF1">
            <w:pPr>
              <w:spacing w:after="240"/>
              <w:rPr>
                <w:rFonts w:cstheme="minorHAnsi"/>
              </w:rPr>
            </w:pPr>
            <w:r>
              <w:rPr>
                <w:rFonts w:cstheme="minorHAnsi"/>
              </w:rPr>
              <w:t xml:space="preserve">The Planning Commission also provided the following feedback </w:t>
            </w:r>
            <w:r w:rsidR="00051739">
              <w:rPr>
                <w:rFonts w:cstheme="minorHAnsi"/>
              </w:rPr>
              <w:t>on each of the three “</w:t>
            </w:r>
            <w:r>
              <w:rPr>
                <w:rFonts w:cstheme="minorHAnsi"/>
              </w:rPr>
              <w:t>Buckets</w:t>
            </w:r>
            <w:r w:rsidR="00051739">
              <w:rPr>
                <w:rFonts w:cstheme="minorHAnsi"/>
              </w:rPr>
              <w:t>”</w:t>
            </w:r>
            <w:r>
              <w:rPr>
                <w:rFonts w:cstheme="minorHAnsi"/>
              </w:rPr>
              <w:t xml:space="preserve"> presented by staff at the June 10 public hearing. This feedback is summarized below:</w:t>
            </w:r>
          </w:p>
          <w:p w14:paraId="1A4C6700" w14:textId="24CA5D2A" w:rsidR="009D0CC9" w:rsidRPr="00FC5DF1" w:rsidRDefault="009E2927" w:rsidP="006F395E">
            <w:pPr>
              <w:spacing w:after="120"/>
              <w:ind w:left="720"/>
              <w:rPr>
                <w:rFonts w:cstheme="minorHAnsi"/>
              </w:rPr>
            </w:pPr>
            <w:r w:rsidRPr="000C39FB">
              <w:rPr>
                <w:rFonts w:cstheme="minorHAnsi"/>
                <w:b/>
                <w:bCs/>
                <w:i/>
                <w:iCs/>
              </w:rPr>
              <w:t>Bucket 1 – Exemptions</w:t>
            </w:r>
            <w:r w:rsidRPr="000C39FB">
              <w:rPr>
                <w:rFonts w:cstheme="minorHAnsi"/>
                <w:b/>
                <w:bCs/>
              </w:rPr>
              <w:t>.</w:t>
            </w:r>
            <w:r>
              <w:rPr>
                <w:rFonts w:cstheme="minorHAnsi"/>
              </w:rPr>
              <w:t xml:space="preserve"> Bucket 1 determine</w:t>
            </w:r>
            <w:r w:rsidR="000C39FB">
              <w:rPr>
                <w:rFonts w:cstheme="minorHAnsi"/>
              </w:rPr>
              <w:t>d</w:t>
            </w:r>
            <w:r>
              <w:rPr>
                <w:rFonts w:cstheme="minorHAnsi"/>
              </w:rPr>
              <w:t xml:space="preserve"> what temporary uses require a temporary use permit and what types do not require an additional land use authorization. </w:t>
            </w:r>
            <w:r w:rsidR="009D0CC9">
              <w:rPr>
                <w:rFonts w:cstheme="minorHAnsi"/>
              </w:rPr>
              <w:t>Bucket 1 addresse</w:t>
            </w:r>
            <w:r w:rsidR="000C39FB">
              <w:rPr>
                <w:rFonts w:cstheme="minorHAnsi"/>
              </w:rPr>
              <w:t>d</w:t>
            </w:r>
            <w:r w:rsidR="009D0CC9">
              <w:rPr>
                <w:rFonts w:cstheme="minorHAnsi"/>
              </w:rPr>
              <w:t xml:space="preserve"> proposed Log Nos. 19, 20, 21, 22, 23, 42, and 43</w:t>
            </w:r>
            <w:r w:rsidR="00B5634C">
              <w:rPr>
                <w:rFonts w:cstheme="minorHAnsi"/>
              </w:rPr>
              <w:t>.</w:t>
            </w:r>
          </w:p>
          <w:p w14:paraId="3F67DE89" w14:textId="571E30E9" w:rsidR="009D0CC9" w:rsidRDefault="009D0CC9" w:rsidP="00FC5DF1">
            <w:pPr>
              <w:spacing w:after="120"/>
              <w:ind w:left="720"/>
              <w:rPr>
                <w:rFonts w:cstheme="minorHAnsi"/>
              </w:rPr>
            </w:pPr>
            <w:r w:rsidRPr="000C39FB">
              <w:rPr>
                <w:rFonts w:cstheme="minorHAnsi"/>
                <w:i/>
                <w:iCs/>
                <w:u w:val="single"/>
              </w:rPr>
              <w:t xml:space="preserve">Planning Commission Feedback </w:t>
            </w:r>
            <w:r w:rsidR="00C83BC9" w:rsidRPr="000C39FB">
              <w:rPr>
                <w:rFonts w:cstheme="minorHAnsi"/>
                <w:i/>
                <w:iCs/>
                <w:u w:val="single"/>
              </w:rPr>
              <w:t>on</w:t>
            </w:r>
            <w:r w:rsidRPr="000C39FB">
              <w:rPr>
                <w:rFonts w:cstheme="minorHAnsi"/>
                <w:i/>
                <w:iCs/>
                <w:u w:val="single"/>
              </w:rPr>
              <w:t xml:space="preserve"> Bucket 1.</w:t>
            </w:r>
            <w:r w:rsidRPr="009D0CC9">
              <w:rPr>
                <w:rFonts w:cstheme="minorHAnsi"/>
                <w:i/>
                <w:iCs/>
              </w:rPr>
              <w:t xml:space="preserve"> </w:t>
            </w:r>
            <w:r>
              <w:rPr>
                <w:rFonts w:cstheme="minorHAnsi"/>
              </w:rPr>
              <w:t xml:space="preserve">The Planning Commission directed staff to draft regulations that </w:t>
            </w:r>
            <w:r w:rsidR="00C83BC9">
              <w:rPr>
                <w:rFonts w:cstheme="minorHAnsi"/>
              </w:rPr>
              <w:t>address</w:t>
            </w:r>
            <w:r>
              <w:rPr>
                <w:rFonts w:cstheme="minorHAnsi"/>
              </w:rPr>
              <w:t xml:space="preserve"> the following:</w:t>
            </w:r>
          </w:p>
          <w:p w14:paraId="1F84A1A8" w14:textId="77777777" w:rsidR="009D0CC9" w:rsidRDefault="009D0CC9" w:rsidP="00FC5DF1">
            <w:pPr>
              <w:pStyle w:val="ListParagraph"/>
              <w:numPr>
                <w:ilvl w:val="0"/>
                <w:numId w:val="16"/>
              </w:numPr>
              <w:spacing w:after="120"/>
              <w:contextualSpacing w:val="0"/>
              <w:rPr>
                <w:rFonts w:cstheme="minorHAnsi"/>
              </w:rPr>
            </w:pPr>
            <w:r>
              <w:rPr>
                <w:rFonts w:cstheme="minorHAnsi"/>
              </w:rPr>
              <w:t>Exemptions for uses which comply with the development regulations of the underlying zone may be allowed for a period of seven days over any given 90-day period.</w:t>
            </w:r>
          </w:p>
          <w:p w14:paraId="4A75AAEA" w14:textId="77777777" w:rsidR="00802DA2" w:rsidRDefault="009D0CC9" w:rsidP="00FC5DF1">
            <w:pPr>
              <w:pStyle w:val="ListParagraph"/>
              <w:numPr>
                <w:ilvl w:val="0"/>
                <w:numId w:val="16"/>
              </w:numPr>
              <w:spacing w:after="120"/>
              <w:contextualSpacing w:val="0"/>
              <w:rPr>
                <w:rFonts w:cstheme="minorHAnsi"/>
              </w:rPr>
            </w:pPr>
            <w:r>
              <w:rPr>
                <w:rFonts w:cstheme="minorHAnsi"/>
              </w:rPr>
              <w:t xml:space="preserve">Exemptions for uses which do not comply with the development regulations of the underlying zone may be allowed for a term of less than 48 hours. </w:t>
            </w:r>
          </w:p>
          <w:p w14:paraId="213DFE57" w14:textId="3C565596" w:rsidR="00802DA2" w:rsidRPr="00FC5DF1" w:rsidRDefault="00802DA2" w:rsidP="00FC5DF1">
            <w:pPr>
              <w:pStyle w:val="ListParagraph"/>
              <w:numPr>
                <w:ilvl w:val="0"/>
                <w:numId w:val="16"/>
              </w:numPr>
              <w:spacing w:after="240"/>
              <w:contextualSpacing w:val="0"/>
              <w:rPr>
                <w:rFonts w:cstheme="minorHAnsi"/>
              </w:rPr>
            </w:pPr>
            <w:r>
              <w:rPr>
                <w:rFonts w:cstheme="minorHAnsi"/>
              </w:rPr>
              <w:t xml:space="preserve">No restrictions should be imposed on the size of tents associated with garage sales, yard sales, and estate sales. </w:t>
            </w:r>
          </w:p>
          <w:p w14:paraId="15AE0473" w14:textId="38108769" w:rsidR="00C83BC9" w:rsidRPr="00FC5DF1" w:rsidRDefault="00802DA2" w:rsidP="006F395E">
            <w:pPr>
              <w:pStyle w:val="ListParagraph"/>
              <w:spacing w:after="120"/>
              <w:contextualSpacing w:val="0"/>
              <w:rPr>
                <w:rFonts w:cstheme="minorHAnsi"/>
              </w:rPr>
            </w:pPr>
            <w:r w:rsidRPr="000C39FB">
              <w:rPr>
                <w:rFonts w:cstheme="minorHAnsi"/>
                <w:b/>
                <w:bCs/>
                <w:i/>
                <w:iCs/>
              </w:rPr>
              <w:lastRenderedPageBreak/>
              <w:t>Bucket 2 – Normal Temporary Uses.</w:t>
            </w:r>
            <w:r w:rsidRPr="000C39FB">
              <w:rPr>
                <w:rFonts w:cstheme="minorHAnsi"/>
                <w:b/>
                <w:bCs/>
              </w:rPr>
              <w:t xml:space="preserve"> </w:t>
            </w:r>
            <w:r>
              <w:rPr>
                <w:rFonts w:cstheme="minorHAnsi"/>
              </w:rPr>
              <w:t>Bucket 2 determine</w:t>
            </w:r>
            <w:r w:rsidR="000C39FB">
              <w:rPr>
                <w:rFonts w:cstheme="minorHAnsi"/>
              </w:rPr>
              <w:t>d</w:t>
            </w:r>
            <w:r w:rsidR="00FD4423">
              <w:rPr>
                <w:rFonts w:cstheme="minorHAnsi"/>
              </w:rPr>
              <w:t xml:space="preserve"> </w:t>
            </w:r>
            <w:r>
              <w:rPr>
                <w:rFonts w:cstheme="minorHAnsi"/>
              </w:rPr>
              <w:t xml:space="preserve">which will be </w:t>
            </w:r>
            <w:r w:rsidR="00F54AE9">
              <w:rPr>
                <w:rFonts w:cstheme="minorHAnsi"/>
              </w:rPr>
              <w:t>“</w:t>
            </w:r>
            <w:r>
              <w:rPr>
                <w:rFonts w:cstheme="minorHAnsi"/>
              </w:rPr>
              <w:t>normal</w:t>
            </w:r>
            <w:r w:rsidR="00F54AE9">
              <w:rPr>
                <w:rFonts w:cstheme="minorHAnsi"/>
              </w:rPr>
              <w:t>”</w:t>
            </w:r>
            <w:r>
              <w:rPr>
                <w:rFonts w:cstheme="minorHAnsi"/>
              </w:rPr>
              <w:t xml:space="preserve"> and which</w:t>
            </w:r>
            <w:r w:rsidR="00FD4423">
              <w:rPr>
                <w:rFonts w:cstheme="minorHAnsi"/>
              </w:rPr>
              <w:t xml:space="preserve"> temporary uses that require a permit</w:t>
            </w:r>
            <w:r>
              <w:rPr>
                <w:rFonts w:cstheme="minorHAnsi"/>
              </w:rPr>
              <w:t xml:space="preserve"> will be a </w:t>
            </w:r>
            <w:r w:rsidR="00F54AE9">
              <w:rPr>
                <w:rFonts w:cstheme="minorHAnsi"/>
              </w:rPr>
              <w:t>“</w:t>
            </w:r>
            <w:r>
              <w:rPr>
                <w:rFonts w:cstheme="minorHAnsi"/>
              </w:rPr>
              <w:t>deviation</w:t>
            </w:r>
            <w:r w:rsidR="00F54AE9">
              <w:rPr>
                <w:rFonts w:cstheme="minorHAnsi"/>
              </w:rPr>
              <w:t>”</w:t>
            </w:r>
            <w:r w:rsidR="00FD4423">
              <w:rPr>
                <w:rFonts w:cstheme="minorHAnsi"/>
              </w:rPr>
              <w:t xml:space="preserve">. </w:t>
            </w:r>
            <w:r>
              <w:rPr>
                <w:rFonts w:cstheme="minorHAnsi"/>
              </w:rPr>
              <w:t xml:space="preserve">Deviations </w:t>
            </w:r>
            <w:r w:rsidR="00FD4423">
              <w:rPr>
                <w:rFonts w:cstheme="minorHAnsi"/>
              </w:rPr>
              <w:t>are further addressed in</w:t>
            </w:r>
            <w:r>
              <w:rPr>
                <w:rFonts w:cstheme="minorHAnsi"/>
              </w:rPr>
              <w:t xml:space="preserve"> Bucket 3. Bucket 2 addresse</w:t>
            </w:r>
            <w:r w:rsidR="000C39FB">
              <w:rPr>
                <w:rFonts w:cstheme="minorHAnsi"/>
              </w:rPr>
              <w:t>d</w:t>
            </w:r>
            <w:r>
              <w:rPr>
                <w:rFonts w:cstheme="minorHAnsi"/>
              </w:rPr>
              <w:t xml:space="preserve"> proposed Log Nos. 18, 31, 32, 33, 35, 36, 37, 38, 39, 40, 41, 44, and 45</w:t>
            </w:r>
            <w:r w:rsidR="00B5634C">
              <w:rPr>
                <w:rFonts w:cstheme="minorHAnsi"/>
              </w:rPr>
              <w:t>.</w:t>
            </w:r>
          </w:p>
          <w:p w14:paraId="2E50C710" w14:textId="11849E3F" w:rsidR="00C83BC9" w:rsidRDefault="00C83BC9" w:rsidP="00FC5DF1">
            <w:pPr>
              <w:spacing w:after="120"/>
              <w:ind w:left="720"/>
              <w:rPr>
                <w:rFonts w:cstheme="minorHAnsi"/>
              </w:rPr>
            </w:pPr>
            <w:r w:rsidRPr="000C39FB">
              <w:rPr>
                <w:rFonts w:cstheme="minorHAnsi"/>
                <w:i/>
                <w:iCs/>
                <w:u w:val="single"/>
              </w:rPr>
              <w:t>Planning Commission Feedback on Bucket 2.</w:t>
            </w:r>
            <w:r>
              <w:rPr>
                <w:rFonts w:cstheme="minorHAnsi"/>
                <w:i/>
                <w:iCs/>
              </w:rPr>
              <w:t xml:space="preserve"> </w:t>
            </w:r>
            <w:r>
              <w:rPr>
                <w:rFonts w:cstheme="minorHAnsi"/>
              </w:rPr>
              <w:t xml:space="preserve">The Planning Commission directed staff to draft regulations </w:t>
            </w:r>
            <w:r w:rsidR="00051739">
              <w:rPr>
                <w:rFonts w:cstheme="minorHAnsi"/>
              </w:rPr>
              <w:t xml:space="preserve">that </w:t>
            </w:r>
            <w:r>
              <w:rPr>
                <w:rFonts w:cstheme="minorHAnsi"/>
              </w:rPr>
              <w:t>address the following:</w:t>
            </w:r>
          </w:p>
          <w:p w14:paraId="293C1E8E" w14:textId="70328CED" w:rsidR="00C83BC9" w:rsidRDefault="00C83BC9" w:rsidP="00FC5DF1">
            <w:pPr>
              <w:pStyle w:val="ListParagraph"/>
              <w:numPr>
                <w:ilvl w:val="0"/>
                <w:numId w:val="19"/>
              </w:numPr>
              <w:spacing w:after="120"/>
              <w:contextualSpacing w:val="0"/>
              <w:rPr>
                <w:rFonts w:cstheme="minorHAnsi"/>
              </w:rPr>
            </w:pPr>
            <w:r>
              <w:rPr>
                <w:rFonts w:cstheme="minorHAnsi"/>
              </w:rPr>
              <w:t xml:space="preserve">Temporary use permits (permits for </w:t>
            </w:r>
            <w:r w:rsidR="00F54AE9">
              <w:rPr>
                <w:rFonts w:cstheme="minorHAnsi"/>
              </w:rPr>
              <w:t>“</w:t>
            </w:r>
            <w:r>
              <w:rPr>
                <w:rFonts w:cstheme="minorHAnsi"/>
              </w:rPr>
              <w:t>normal</w:t>
            </w:r>
            <w:r w:rsidR="00F54AE9">
              <w:rPr>
                <w:rFonts w:cstheme="minorHAnsi"/>
              </w:rPr>
              <w:t>”</w:t>
            </w:r>
            <w:r>
              <w:rPr>
                <w:rFonts w:cstheme="minorHAnsi"/>
              </w:rPr>
              <w:t xml:space="preserve"> temporary uses) should follow the Type II land use review process. </w:t>
            </w:r>
          </w:p>
          <w:p w14:paraId="1B55AC42" w14:textId="08D6705A" w:rsidR="00C83BC9" w:rsidRDefault="00C83BC9" w:rsidP="00FC5DF1">
            <w:pPr>
              <w:pStyle w:val="ListParagraph"/>
              <w:numPr>
                <w:ilvl w:val="0"/>
                <w:numId w:val="19"/>
              </w:numPr>
              <w:spacing w:after="120"/>
              <w:contextualSpacing w:val="0"/>
              <w:rPr>
                <w:rFonts w:cstheme="minorHAnsi"/>
              </w:rPr>
            </w:pPr>
            <w:r>
              <w:rPr>
                <w:rFonts w:cstheme="minorHAnsi"/>
              </w:rPr>
              <w:t xml:space="preserve">Temporary use permits should be valid for five years and eligible for renewal up to four times (expire after 20 years). </w:t>
            </w:r>
          </w:p>
          <w:p w14:paraId="2AA4A88D" w14:textId="705A2513" w:rsidR="00C83BC9" w:rsidRDefault="00F54AE9" w:rsidP="00FC5DF1">
            <w:pPr>
              <w:pStyle w:val="ListParagraph"/>
              <w:numPr>
                <w:ilvl w:val="0"/>
                <w:numId w:val="19"/>
              </w:numPr>
              <w:spacing w:after="120"/>
              <w:contextualSpacing w:val="0"/>
              <w:rPr>
                <w:rFonts w:cstheme="minorHAnsi"/>
              </w:rPr>
            </w:pPr>
            <w:r>
              <w:rPr>
                <w:rFonts w:cstheme="minorHAnsi"/>
              </w:rPr>
              <w:t>“</w:t>
            </w:r>
            <w:r w:rsidR="00C83BC9">
              <w:rPr>
                <w:rFonts w:cstheme="minorHAnsi"/>
              </w:rPr>
              <w:t>Normal</w:t>
            </w:r>
            <w:r>
              <w:rPr>
                <w:rFonts w:cstheme="minorHAnsi"/>
              </w:rPr>
              <w:t>”</w:t>
            </w:r>
            <w:r w:rsidR="00C83BC9">
              <w:rPr>
                <w:rFonts w:cstheme="minorHAnsi"/>
              </w:rPr>
              <w:t xml:space="preserve"> temporary uses must meet the development standards in the underlying zone. Those that do not meet the development standards would only be allowed for less than 48 hours or through the approval of a deviation. </w:t>
            </w:r>
          </w:p>
          <w:p w14:paraId="4B0BD725" w14:textId="317C6892" w:rsidR="00C83BC9" w:rsidRPr="00FC5DF1" w:rsidRDefault="00C83BC9" w:rsidP="00FC5DF1">
            <w:pPr>
              <w:pStyle w:val="ListParagraph"/>
              <w:numPr>
                <w:ilvl w:val="0"/>
                <w:numId w:val="19"/>
              </w:numPr>
              <w:spacing w:after="240"/>
              <w:contextualSpacing w:val="0"/>
              <w:rPr>
                <w:rFonts w:cstheme="minorHAnsi"/>
              </w:rPr>
            </w:pPr>
            <w:r>
              <w:rPr>
                <w:rFonts w:cstheme="minorHAnsi"/>
              </w:rPr>
              <w:t xml:space="preserve">No additional criteria for approval over and above the criteria established for </w:t>
            </w:r>
            <w:r w:rsidR="00F54AE9">
              <w:rPr>
                <w:rFonts w:cstheme="minorHAnsi"/>
              </w:rPr>
              <w:t>“</w:t>
            </w:r>
            <w:r>
              <w:rPr>
                <w:rFonts w:cstheme="minorHAnsi"/>
              </w:rPr>
              <w:t>normal</w:t>
            </w:r>
            <w:r w:rsidR="00F54AE9">
              <w:rPr>
                <w:rFonts w:cstheme="minorHAnsi"/>
              </w:rPr>
              <w:t>”</w:t>
            </w:r>
            <w:r>
              <w:rPr>
                <w:rFonts w:cstheme="minorHAnsi"/>
              </w:rPr>
              <w:t xml:space="preserve"> temporary uses is necessary. </w:t>
            </w:r>
          </w:p>
          <w:p w14:paraId="6BCE9543" w14:textId="3123A81D" w:rsidR="000C39FB" w:rsidRPr="00FC5DF1" w:rsidRDefault="000C39FB" w:rsidP="006F395E">
            <w:pPr>
              <w:spacing w:after="120"/>
              <w:ind w:left="720"/>
              <w:rPr>
                <w:rFonts w:cstheme="minorHAnsi"/>
              </w:rPr>
            </w:pPr>
            <w:r w:rsidRPr="000C39FB">
              <w:rPr>
                <w:rFonts w:cstheme="minorHAnsi"/>
                <w:b/>
                <w:bCs/>
                <w:i/>
                <w:iCs/>
              </w:rPr>
              <w:t>Bucket 3 – Temporary Use Deviations.</w:t>
            </w:r>
            <w:r>
              <w:rPr>
                <w:rFonts w:cstheme="minorHAnsi"/>
              </w:rPr>
              <w:t xml:space="preserve"> Bucket 3 determined the process and criteria by which temporary uses cannot meet the </w:t>
            </w:r>
            <w:r w:rsidR="00F54AE9">
              <w:rPr>
                <w:rFonts w:cstheme="minorHAnsi"/>
              </w:rPr>
              <w:t>“</w:t>
            </w:r>
            <w:r>
              <w:rPr>
                <w:rFonts w:cstheme="minorHAnsi"/>
              </w:rPr>
              <w:t>normal</w:t>
            </w:r>
            <w:r w:rsidR="00F54AE9">
              <w:rPr>
                <w:rFonts w:cstheme="minorHAnsi"/>
              </w:rPr>
              <w:t>”</w:t>
            </w:r>
            <w:r>
              <w:rPr>
                <w:rFonts w:cstheme="minorHAnsi"/>
              </w:rPr>
              <w:t xml:space="preserve"> standards may be authorized. This is the process by which unusual or exceptional uses may be permitted. This will be referred to as a </w:t>
            </w:r>
            <w:r w:rsidR="00F54AE9">
              <w:rPr>
                <w:rFonts w:cstheme="minorHAnsi"/>
              </w:rPr>
              <w:t>“</w:t>
            </w:r>
            <w:r>
              <w:rPr>
                <w:rFonts w:cstheme="minorHAnsi"/>
              </w:rPr>
              <w:t>temporary use deviation</w:t>
            </w:r>
            <w:r w:rsidR="00F54AE9">
              <w:rPr>
                <w:rFonts w:cstheme="minorHAnsi"/>
              </w:rPr>
              <w:t>”</w:t>
            </w:r>
            <w:r>
              <w:rPr>
                <w:rFonts w:cstheme="minorHAnsi"/>
              </w:rPr>
              <w:t>. Bucket 3 addressed proposed Log Nos. 24, 25, 26, 27, 28, 29, 30, 34, 40, 41, 45, and 48</w:t>
            </w:r>
            <w:r w:rsidR="00FD4423">
              <w:rPr>
                <w:rFonts w:cstheme="minorHAnsi"/>
              </w:rPr>
              <w:t>.</w:t>
            </w:r>
          </w:p>
          <w:p w14:paraId="4241B397" w14:textId="5D7E85E5" w:rsidR="000C39FB" w:rsidRDefault="000C39FB" w:rsidP="00FC5DF1">
            <w:pPr>
              <w:spacing w:after="120"/>
              <w:ind w:left="720"/>
              <w:rPr>
                <w:rFonts w:cstheme="minorHAnsi"/>
              </w:rPr>
            </w:pPr>
            <w:r w:rsidRPr="000C39FB">
              <w:rPr>
                <w:rFonts w:cstheme="minorHAnsi"/>
                <w:i/>
                <w:iCs/>
                <w:u w:val="single"/>
              </w:rPr>
              <w:t>Planning Commission Feedback on Bucket 3.</w:t>
            </w:r>
            <w:r>
              <w:rPr>
                <w:rFonts w:cstheme="minorHAnsi"/>
              </w:rPr>
              <w:t xml:space="preserve"> </w:t>
            </w:r>
            <w:r w:rsidRPr="000C39FB">
              <w:rPr>
                <w:rFonts w:cstheme="minorHAnsi"/>
              </w:rPr>
              <w:t xml:space="preserve">The Planning Commission directed staff to draft regulations </w:t>
            </w:r>
            <w:r w:rsidR="00CC26CA">
              <w:rPr>
                <w:rFonts w:cstheme="minorHAnsi"/>
              </w:rPr>
              <w:t>that</w:t>
            </w:r>
            <w:r w:rsidR="00CC26CA" w:rsidRPr="000C39FB">
              <w:rPr>
                <w:rFonts w:cstheme="minorHAnsi"/>
              </w:rPr>
              <w:t xml:space="preserve"> </w:t>
            </w:r>
            <w:r w:rsidRPr="000C39FB">
              <w:rPr>
                <w:rFonts w:cstheme="minorHAnsi"/>
              </w:rPr>
              <w:t>address the following:</w:t>
            </w:r>
          </w:p>
          <w:p w14:paraId="4DFA85D0" w14:textId="4B0CF83D" w:rsidR="000C39FB" w:rsidRDefault="000C39FB" w:rsidP="00FC5DF1">
            <w:pPr>
              <w:pStyle w:val="ListParagraph"/>
              <w:numPr>
                <w:ilvl w:val="0"/>
                <w:numId w:val="20"/>
              </w:numPr>
              <w:spacing w:after="120"/>
              <w:contextualSpacing w:val="0"/>
              <w:rPr>
                <w:rFonts w:cstheme="minorHAnsi"/>
              </w:rPr>
            </w:pPr>
            <w:r>
              <w:rPr>
                <w:rFonts w:cstheme="minorHAnsi"/>
              </w:rPr>
              <w:t>Temporary use deviation</w:t>
            </w:r>
            <w:r w:rsidR="000C6448">
              <w:rPr>
                <w:rFonts w:cstheme="minorHAnsi"/>
              </w:rPr>
              <w:t xml:space="preserve">s </w:t>
            </w:r>
            <w:r>
              <w:rPr>
                <w:rFonts w:cstheme="minorHAnsi"/>
              </w:rPr>
              <w:t xml:space="preserve">should be processed as a Type III land use review. </w:t>
            </w:r>
          </w:p>
          <w:p w14:paraId="7009233F" w14:textId="2007BD11" w:rsidR="000C39FB" w:rsidRDefault="000C39FB" w:rsidP="00FC5DF1">
            <w:pPr>
              <w:pStyle w:val="ListParagraph"/>
              <w:numPr>
                <w:ilvl w:val="0"/>
                <w:numId w:val="20"/>
              </w:numPr>
              <w:spacing w:after="120"/>
              <w:contextualSpacing w:val="0"/>
              <w:rPr>
                <w:rFonts w:cstheme="minorHAnsi"/>
              </w:rPr>
            </w:pPr>
            <w:r>
              <w:rPr>
                <w:rFonts w:cstheme="minorHAnsi"/>
              </w:rPr>
              <w:t>Temporary use deviation</w:t>
            </w:r>
            <w:r w:rsidR="000C6448">
              <w:rPr>
                <w:rFonts w:cstheme="minorHAnsi"/>
              </w:rPr>
              <w:t xml:space="preserve">s </w:t>
            </w:r>
            <w:r>
              <w:rPr>
                <w:rFonts w:cstheme="minorHAnsi"/>
              </w:rPr>
              <w:t>should be valid for five years and eligible for renewal up to four times (expire after 20 years).</w:t>
            </w:r>
          </w:p>
          <w:p w14:paraId="02CFCAC1" w14:textId="3B96F57B" w:rsidR="000C39FB" w:rsidRDefault="000C39FB" w:rsidP="00FC5DF1">
            <w:pPr>
              <w:pStyle w:val="ListParagraph"/>
              <w:numPr>
                <w:ilvl w:val="0"/>
                <w:numId w:val="20"/>
              </w:numPr>
              <w:spacing w:after="120"/>
              <w:contextualSpacing w:val="0"/>
              <w:rPr>
                <w:rFonts w:cstheme="minorHAnsi"/>
              </w:rPr>
            </w:pPr>
            <w:r>
              <w:rPr>
                <w:rFonts w:cstheme="minorHAnsi"/>
              </w:rPr>
              <w:t xml:space="preserve">The renewal process should be an abbreviated process through a Type II land use review. </w:t>
            </w:r>
          </w:p>
          <w:p w14:paraId="38FB928C" w14:textId="3B463BDE" w:rsidR="00FD4423" w:rsidRPr="00FD4423" w:rsidRDefault="00436141" w:rsidP="006F395E">
            <w:pPr>
              <w:pStyle w:val="ListParagraph"/>
              <w:numPr>
                <w:ilvl w:val="0"/>
                <w:numId w:val="20"/>
              </w:numPr>
              <w:contextualSpacing w:val="0"/>
              <w:rPr>
                <w:rFonts w:cstheme="minorHAnsi"/>
              </w:rPr>
            </w:pPr>
            <w:r>
              <w:rPr>
                <w:rFonts w:cstheme="minorHAnsi"/>
              </w:rPr>
              <w:t>D</w:t>
            </w:r>
            <w:r w:rsidRPr="00436141">
              <w:rPr>
                <w:rFonts w:cstheme="minorHAnsi"/>
              </w:rPr>
              <w:t xml:space="preserve">raft criteria that </w:t>
            </w:r>
            <w:r w:rsidR="007168F5" w:rsidRPr="00436141">
              <w:rPr>
                <w:rFonts w:cstheme="minorHAnsi"/>
              </w:rPr>
              <w:t>address</w:t>
            </w:r>
            <w:r w:rsidRPr="00436141">
              <w:rPr>
                <w:rFonts w:cstheme="minorHAnsi"/>
              </w:rPr>
              <w:t xml:space="preserve"> screening, setbacks, building height, and public benefit</w:t>
            </w:r>
            <w:r>
              <w:rPr>
                <w:rFonts w:cstheme="minorHAnsi"/>
              </w:rPr>
              <w:t>.</w:t>
            </w:r>
          </w:p>
        </w:tc>
      </w:tr>
    </w:tbl>
    <w:p w14:paraId="3093316D" w14:textId="77777777" w:rsidR="003B04F5" w:rsidRDefault="003B04F5" w:rsidP="007B2D3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0070"/>
      </w:tblGrid>
      <w:tr w:rsidR="00B11706" w:rsidRPr="007C6996" w14:paraId="38A948A8" w14:textId="77777777" w:rsidTr="004105F0">
        <w:tc>
          <w:tcPr>
            <w:tcW w:w="10070" w:type="dxa"/>
            <w:tcBorders>
              <w:top w:val="single" w:sz="4" w:space="0" w:color="auto"/>
              <w:left w:val="single" w:sz="4" w:space="0" w:color="auto"/>
              <w:bottom w:val="single" w:sz="4" w:space="0" w:color="auto"/>
              <w:right w:val="single" w:sz="4" w:space="0" w:color="auto"/>
            </w:tcBorders>
            <w:shd w:val="clear" w:color="auto" w:fill="0068B4"/>
          </w:tcPr>
          <w:p w14:paraId="58A1222F" w14:textId="77777777" w:rsidR="00B11706" w:rsidRPr="007C6996" w:rsidRDefault="00B11706">
            <w:pPr>
              <w:rPr>
                <w:rFonts w:cstheme="minorHAnsi"/>
                <w:b/>
                <w:bCs/>
                <w:sz w:val="28"/>
                <w:szCs w:val="28"/>
              </w:rPr>
            </w:pPr>
            <w:r w:rsidRPr="00C84C42">
              <w:rPr>
                <w:rFonts w:cstheme="minorHAnsi"/>
                <w:b/>
                <w:bCs/>
                <w:color w:val="FFFFFF" w:themeColor="background1"/>
                <w:sz w:val="28"/>
                <w:szCs w:val="28"/>
              </w:rPr>
              <w:t>ISSUE</w:t>
            </w:r>
            <w:r w:rsidR="00006E42" w:rsidRPr="00C84C42">
              <w:rPr>
                <w:rFonts w:cstheme="minorHAnsi"/>
                <w:b/>
                <w:bCs/>
                <w:color w:val="FFFFFF" w:themeColor="background1"/>
                <w:sz w:val="28"/>
                <w:szCs w:val="28"/>
              </w:rPr>
              <w:t>/</w:t>
            </w:r>
            <w:r w:rsidRPr="00C84C42">
              <w:rPr>
                <w:rFonts w:cstheme="minorHAnsi"/>
                <w:b/>
                <w:bCs/>
                <w:color w:val="FFFFFF" w:themeColor="background1"/>
                <w:sz w:val="28"/>
                <w:szCs w:val="28"/>
              </w:rPr>
              <w:t>DISCUSSION</w:t>
            </w:r>
          </w:p>
        </w:tc>
      </w:tr>
      <w:tr w:rsidR="00B11706" w:rsidRPr="007C6996" w14:paraId="48817A63" w14:textId="77777777" w:rsidTr="00BE37A6">
        <w:tc>
          <w:tcPr>
            <w:tcW w:w="10070" w:type="dxa"/>
            <w:tcBorders>
              <w:top w:val="single" w:sz="4" w:space="0" w:color="auto"/>
              <w:bottom w:val="single" w:sz="4" w:space="0" w:color="auto"/>
            </w:tcBorders>
          </w:tcPr>
          <w:p w14:paraId="639B15B1" w14:textId="23260F5F" w:rsidR="00A2223A" w:rsidRPr="00CE7354" w:rsidRDefault="00110FAB" w:rsidP="00A2223A">
            <w:pPr>
              <w:spacing w:before="120"/>
              <w:rPr>
                <w:b/>
                <w:bCs/>
              </w:rPr>
            </w:pPr>
            <w:r>
              <w:rPr>
                <w:b/>
                <w:bCs/>
              </w:rPr>
              <w:t>PROPOSED CODE AMENDMENTS</w:t>
            </w:r>
          </w:p>
          <w:p w14:paraId="17D498D1" w14:textId="15480BBC" w:rsidR="00670F19" w:rsidRDefault="00A2223A" w:rsidP="00A2223A">
            <w:pPr>
              <w:spacing w:before="120"/>
              <w:rPr>
                <w:rFonts w:cstheme="minorHAnsi"/>
              </w:rPr>
            </w:pPr>
            <w:r>
              <w:rPr>
                <w:rFonts w:cstheme="minorHAnsi"/>
              </w:rPr>
              <w:t xml:space="preserve">The draft regulations provided in Exhibit 1 were created </w:t>
            </w:r>
            <w:r w:rsidR="00670F19">
              <w:rPr>
                <w:rFonts w:cstheme="minorHAnsi"/>
              </w:rPr>
              <w:t xml:space="preserve">in response to the Planning Commission’s direction at the June 10, </w:t>
            </w:r>
            <w:proofErr w:type="gramStart"/>
            <w:r w:rsidR="00670F19">
              <w:rPr>
                <w:rFonts w:cstheme="minorHAnsi"/>
              </w:rPr>
              <w:t>2025</w:t>
            </w:r>
            <w:proofErr w:type="gramEnd"/>
            <w:r w:rsidR="00670F19">
              <w:rPr>
                <w:rFonts w:cstheme="minorHAnsi"/>
              </w:rPr>
              <w:t xml:space="preserve"> public hearing. </w:t>
            </w:r>
            <w:r w:rsidR="00E80387">
              <w:rPr>
                <w:rFonts w:cstheme="minorHAnsi"/>
              </w:rPr>
              <w:t xml:space="preserve">These amendments are considered “substantive” and require the Planning Commission’s review. </w:t>
            </w:r>
            <w:r w:rsidR="00670F19">
              <w:rPr>
                <w:rFonts w:cstheme="minorHAnsi"/>
              </w:rPr>
              <w:t xml:space="preserve">The </w:t>
            </w:r>
            <w:r w:rsidR="00E80387">
              <w:rPr>
                <w:rFonts w:cstheme="minorHAnsi"/>
              </w:rPr>
              <w:t>substantive amendments</w:t>
            </w:r>
            <w:r w:rsidR="00670F19">
              <w:rPr>
                <w:rFonts w:cstheme="minorHAnsi"/>
              </w:rPr>
              <w:t xml:space="preserve"> were sorted into </w:t>
            </w:r>
            <w:r w:rsidR="0055051D">
              <w:rPr>
                <w:rFonts w:cstheme="minorHAnsi"/>
              </w:rPr>
              <w:t>two</w:t>
            </w:r>
            <w:r w:rsidR="00436141">
              <w:rPr>
                <w:rFonts w:cstheme="minorHAnsi"/>
              </w:rPr>
              <w:t xml:space="preserve"> </w:t>
            </w:r>
            <w:r w:rsidR="00490CD9">
              <w:rPr>
                <w:rFonts w:cstheme="minorHAnsi"/>
              </w:rPr>
              <w:t>categories</w:t>
            </w:r>
            <w:r w:rsidR="00FC5DF1">
              <w:rPr>
                <w:rFonts w:cstheme="minorHAnsi"/>
              </w:rPr>
              <w:t xml:space="preserve">. </w:t>
            </w:r>
          </w:p>
          <w:p w14:paraId="106796EE" w14:textId="0AFF14DC" w:rsidR="00431182" w:rsidRDefault="00490CD9" w:rsidP="0055051D">
            <w:pPr>
              <w:spacing w:before="120"/>
              <w:rPr>
                <w:rFonts w:cstheme="minorHAnsi"/>
              </w:rPr>
            </w:pPr>
            <w:r>
              <w:rPr>
                <w:rFonts w:cstheme="minorHAnsi"/>
                <w:b/>
                <w:bCs/>
              </w:rPr>
              <w:t>Category</w:t>
            </w:r>
            <w:r w:rsidRPr="00431182">
              <w:rPr>
                <w:rFonts w:cstheme="minorHAnsi"/>
                <w:b/>
                <w:bCs/>
              </w:rPr>
              <w:t xml:space="preserve"> </w:t>
            </w:r>
            <w:r w:rsidR="00431182" w:rsidRPr="00431182">
              <w:rPr>
                <w:rFonts w:cstheme="minorHAnsi"/>
                <w:b/>
                <w:bCs/>
              </w:rPr>
              <w:t>A</w:t>
            </w:r>
            <w:r w:rsidR="00431182">
              <w:rPr>
                <w:rFonts w:cstheme="minorHAnsi"/>
              </w:rPr>
              <w:t xml:space="preserve"> – </w:t>
            </w:r>
            <w:r w:rsidR="0024537B">
              <w:rPr>
                <w:rFonts w:cstheme="minorHAnsi"/>
              </w:rPr>
              <w:t xml:space="preserve">As outlined above, the Planning Commission provided direction for staff to draft amendments to respond to three topics: exemptions, “normal” temporary uses, and temporary use </w:t>
            </w:r>
            <w:r w:rsidR="00F54AE9">
              <w:rPr>
                <w:rFonts w:cstheme="minorHAnsi"/>
              </w:rPr>
              <w:t>“</w:t>
            </w:r>
            <w:r w:rsidR="0024537B">
              <w:rPr>
                <w:rFonts w:cstheme="minorHAnsi"/>
              </w:rPr>
              <w:t>deviations</w:t>
            </w:r>
            <w:r w:rsidR="00CC26CA">
              <w:rPr>
                <w:rFonts w:cstheme="minorHAnsi"/>
              </w:rPr>
              <w:t>”</w:t>
            </w:r>
            <w:r w:rsidR="0024537B">
              <w:rPr>
                <w:rFonts w:cstheme="minorHAnsi"/>
              </w:rPr>
              <w:t xml:space="preserve">. Staff </w:t>
            </w:r>
            <w:proofErr w:type="gramStart"/>
            <w:r w:rsidR="0024537B">
              <w:rPr>
                <w:rFonts w:cstheme="minorHAnsi"/>
              </w:rPr>
              <w:t>has</w:t>
            </w:r>
            <w:proofErr w:type="gramEnd"/>
            <w:r w:rsidR="0024537B">
              <w:rPr>
                <w:rFonts w:cstheme="minorHAnsi"/>
              </w:rPr>
              <w:t xml:space="preserve"> incorporated these amendments into the draft and grouped them under the heading of </w:t>
            </w:r>
            <w:r>
              <w:rPr>
                <w:rFonts w:cstheme="minorHAnsi"/>
              </w:rPr>
              <w:t>Category</w:t>
            </w:r>
            <w:r w:rsidR="0024537B">
              <w:rPr>
                <w:rFonts w:cstheme="minorHAnsi"/>
              </w:rPr>
              <w:t xml:space="preserve"> A.</w:t>
            </w:r>
            <w:r w:rsidR="00431182">
              <w:rPr>
                <w:rFonts w:cstheme="minorHAnsi"/>
              </w:rPr>
              <w:t xml:space="preserve"> </w:t>
            </w:r>
            <w:r>
              <w:rPr>
                <w:rFonts w:cstheme="minorHAnsi"/>
              </w:rPr>
              <w:t xml:space="preserve">This category </w:t>
            </w:r>
            <w:r w:rsidR="00431182">
              <w:rPr>
                <w:rFonts w:cstheme="minorHAnsi"/>
              </w:rPr>
              <w:t xml:space="preserve">is sorted into three </w:t>
            </w:r>
            <w:r w:rsidR="00BE37A6">
              <w:rPr>
                <w:rFonts w:cstheme="minorHAnsi"/>
              </w:rPr>
              <w:t>subsections</w:t>
            </w:r>
            <w:r w:rsidR="00431182">
              <w:rPr>
                <w:rFonts w:cstheme="minorHAnsi"/>
              </w:rPr>
              <w:t xml:space="preserve"> that align with the three buckets presented at the June 10, </w:t>
            </w:r>
            <w:proofErr w:type="gramStart"/>
            <w:r w:rsidR="00431182">
              <w:rPr>
                <w:rFonts w:cstheme="minorHAnsi"/>
              </w:rPr>
              <w:t>2025</w:t>
            </w:r>
            <w:proofErr w:type="gramEnd"/>
            <w:r w:rsidR="00431182">
              <w:rPr>
                <w:rFonts w:cstheme="minorHAnsi"/>
              </w:rPr>
              <w:t xml:space="preserve"> public hearing.</w:t>
            </w:r>
          </w:p>
          <w:p w14:paraId="23391F64" w14:textId="7ED36411" w:rsidR="00BE37A6" w:rsidRDefault="00FC5DF1" w:rsidP="0055051D">
            <w:pPr>
              <w:pStyle w:val="ListParagraph"/>
              <w:numPr>
                <w:ilvl w:val="0"/>
                <w:numId w:val="24"/>
              </w:numPr>
              <w:spacing w:before="120"/>
              <w:ind w:left="1080"/>
              <w:rPr>
                <w:rFonts w:cstheme="minorHAnsi"/>
              </w:rPr>
            </w:pPr>
            <w:r w:rsidRPr="00BE37A6">
              <w:rPr>
                <w:rFonts w:cstheme="minorHAnsi"/>
              </w:rPr>
              <w:t xml:space="preserve">Amendments in response to the feedback provided for </w:t>
            </w:r>
            <w:r w:rsidR="007168F5">
              <w:rPr>
                <w:rFonts w:cstheme="minorHAnsi"/>
              </w:rPr>
              <w:t xml:space="preserve">Bucket 1, </w:t>
            </w:r>
            <w:r w:rsidRPr="00BE37A6">
              <w:rPr>
                <w:rFonts w:cstheme="minorHAnsi"/>
              </w:rPr>
              <w:t>exemptions.</w:t>
            </w:r>
          </w:p>
          <w:p w14:paraId="7D57BCD2" w14:textId="7F34B9EF" w:rsidR="00BE37A6" w:rsidRDefault="00FC5DF1" w:rsidP="0055051D">
            <w:pPr>
              <w:pStyle w:val="ListParagraph"/>
              <w:numPr>
                <w:ilvl w:val="0"/>
                <w:numId w:val="24"/>
              </w:numPr>
              <w:spacing w:before="120"/>
              <w:ind w:left="1080"/>
              <w:rPr>
                <w:rFonts w:cstheme="minorHAnsi"/>
              </w:rPr>
            </w:pPr>
            <w:r w:rsidRPr="00BE37A6">
              <w:rPr>
                <w:rFonts w:cstheme="minorHAnsi"/>
              </w:rPr>
              <w:t xml:space="preserve">Amendments in response to the feedback provided for Bucket </w:t>
            </w:r>
            <w:r w:rsidR="0055051D" w:rsidRPr="00BE37A6">
              <w:rPr>
                <w:rFonts w:cstheme="minorHAnsi"/>
              </w:rPr>
              <w:t xml:space="preserve">2, </w:t>
            </w:r>
            <w:r w:rsidR="0055051D">
              <w:rPr>
                <w:rFonts w:cstheme="minorHAnsi"/>
              </w:rPr>
              <w:t>“</w:t>
            </w:r>
            <w:r w:rsidRPr="00BE37A6">
              <w:rPr>
                <w:rFonts w:cstheme="minorHAnsi"/>
              </w:rPr>
              <w:t>normal</w:t>
            </w:r>
            <w:r w:rsidR="0055051D">
              <w:rPr>
                <w:rFonts w:cstheme="minorHAnsi"/>
              </w:rPr>
              <w:t>”</w:t>
            </w:r>
            <w:r w:rsidRPr="00BE37A6">
              <w:rPr>
                <w:rFonts w:cstheme="minorHAnsi"/>
              </w:rPr>
              <w:t xml:space="preserve"> temporary uses.</w:t>
            </w:r>
          </w:p>
          <w:p w14:paraId="6C705D04" w14:textId="67F8167B" w:rsidR="0055051D" w:rsidRDefault="00FC5DF1" w:rsidP="0055051D">
            <w:pPr>
              <w:pStyle w:val="ListParagraph"/>
              <w:numPr>
                <w:ilvl w:val="0"/>
                <w:numId w:val="24"/>
              </w:numPr>
              <w:spacing w:before="120"/>
              <w:ind w:left="1080"/>
              <w:rPr>
                <w:rFonts w:cstheme="minorHAnsi"/>
              </w:rPr>
            </w:pPr>
            <w:r w:rsidRPr="00BE37A6">
              <w:rPr>
                <w:rFonts w:cstheme="minorHAnsi"/>
              </w:rPr>
              <w:t xml:space="preserve">Amendments in response to the feedback provided for Bucket 3, temporary use </w:t>
            </w:r>
            <w:r w:rsidR="0055051D">
              <w:rPr>
                <w:rFonts w:cstheme="minorHAnsi"/>
              </w:rPr>
              <w:t>“</w:t>
            </w:r>
            <w:r w:rsidRPr="00BE37A6">
              <w:rPr>
                <w:rFonts w:cstheme="minorHAnsi"/>
              </w:rPr>
              <w:t>deviations</w:t>
            </w:r>
            <w:r w:rsidR="0055051D">
              <w:rPr>
                <w:rFonts w:cstheme="minorHAnsi"/>
              </w:rPr>
              <w:t>”</w:t>
            </w:r>
            <w:r w:rsidRPr="00BE37A6">
              <w:rPr>
                <w:rFonts w:cstheme="minorHAnsi"/>
              </w:rPr>
              <w:t xml:space="preserve">. </w:t>
            </w:r>
          </w:p>
          <w:p w14:paraId="20D909A9" w14:textId="41216814" w:rsidR="0055051D" w:rsidRPr="0055051D" w:rsidRDefault="0055051D" w:rsidP="0055051D">
            <w:pPr>
              <w:spacing w:before="120"/>
              <w:rPr>
                <w:rFonts w:cstheme="minorHAnsi"/>
                <w:u w:val="single"/>
              </w:rPr>
            </w:pPr>
            <w:r w:rsidRPr="0055051D">
              <w:rPr>
                <w:rFonts w:cstheme="minorHAnsi"/>
                <w:u w:val="single"/>
              </w:rPr>
              <w:t xml:space="preserve">Summary of Amendments in </w:t>
            </w:r>
            <w:r w:rsidR="00490CD9">
              <w:rPr>
                <w:rFonts w:cstheme="minorHAnsi"/>
                <w:u w:val="single"/>
              </w:rPr>
              <w:t xml:space="preserve">Subsection </w:t>
            </w:r>
            <w:r w:rsidRPr="0055051D">
              <w:rPr>
                <w:rFonts w:cstheme="minorHAnsi"/>
                <w:u w:val="single"/>
              </w:rPr>
              <w:t>A1</w:t>
            </w:r>
            <w:r w:rsidR="0024537B">
              <w:rPr>
                <w:rFonts w:cstheme="minorHAnsi"/>
                <w:u w:val="single"/>
              </w:rPr>
              <w:t xml:space="preserve"> – Exemptions </w:t>
            </w:r>
          </w:p>
          <w:p w14:paraId="6E719903" w14:textId="393E90AB" w:rsidR="0055051D" w:rsidRDefault="00490CD9" w:rsidP="0055051D">
            <w:pPr>
              <w:spacing w:before="120"/>
              <w:rPr>
                <w:rFonts w:cstheme="minorHAnsi"/>
              </w:rPr>
            </w:pPr>
            <w:r>
              <w:rPr>
                <w:rFonts w:cstheme="minorHAnsi"/>
              </w:rPr>
              <w:t>Subsection</w:t>
            </w:r>
            <w:r w:rsidRPr="0055051D">
              <w:rPr>
                <w:rFonts w:cstheme="minorHAnsi"/>
              </w:rPr>
              <w:t xml:space="preserve"> </w:t>
            </w:r>
            <w:r w:rsidR="0055051D" w:rsidRPr="0055051D">
              <w:rPr>
                <w:rFonts w:cstheme="minorHAnsi"/>
              </w:rPr>
              <w:t xml:space="preserve">A1 includes amendments in response to the Planning Commission’s feedback related to “exemptions”. MICC 19.06.130(D) was restructured to include the applicability of the Exemptions section, and </w:t>
            </w:r>
            <w:r w:rsidR="0055051D" w:rsidRPr="0055051D">
              <w:rPr>
                <w:rFonts w:cstheme="minorHAnsi"/>
              </w:rPr>
              <w:lastRenderedPageBreak/>
              <w:t xml:space="preserve">two provisions were added to address the time limitations for temporary uses and structures which do and do not meet the development standards of the underlying zone. Any temporary use or structure which does not meet the development standards of the underlying zone may be allowed for up to 48 hours, while any temporary use or structure </w:t>
            </w:r>
            <w:r w:rsidR="00CA1BA9">
              <w:rPr>
                <w:rFonts w:cstheme="minorHAnsi"/>
              </w:rPr>
              <w:t>that</w:t>
            </w:r>
            <w:r w:rsidR="00CA1BA9" w:rsidRPr="0055051D">
              <w:rPr>
                <w:rFonts w:cstheme="minorHAnsi"/>
              </w:rPr>
              <w:t xml:space="preserve"> </w:t>
            </w:r>
            <w:r w:rsidR="0055051D" w:rsidRPr="0055051D">
              <w:rPr>
                <w:rFonts w:cstheme="minorHAnsi"/>
              </w:rPr>
              <w:t>meet</w:t>
            </w:r>
            <w:r w:rsidR="00CA1BA9">
              <w:rPr>
                <w:rFonts w:cstheme="minorHAnsi"/>
              </w:rPr>
              <w:t>s</w:t>
            </w:r>
            <w:r w:rsidR="0055051D" w:rsidRPr="0055051D">
              <w:rPr>
                <w:rFonts w:cstheme="minorHAnsi"/>
              </w:rPr>
              <w:t xml:space="preserve"> the development standards of the underlying zone may be allowed for up to seven days over any given 90-day period, without requiring a</w:t>
            </w:r>
            <w:r>
              <w:rPr>
                <w:rFonts w:cstheme="minorHAnsi"/>
              </w:rPr>
              <w:t xml:space="preserve"> land use</w:t>
            </w:r>
            <w:r w:rsidR="0055051D" w:rsidRPr="0055051D">
              <w:rPr>
                <w:rFonts w:cstheme="minorHAnsi"/>
              </w:rPr>
              <w:t xml:space="preserve"> permit. </w:t>
            </w:r>
            <w:r w:rsidR="0055051D">
              <w:rPr>
                <w:rFonts w:cstheme="minorHAnsi"/>
              </w:rPr>
              <w:t>All</w:t>
            </w:r>
            <w:r w:rsidR="0055051D" w:rsidRPr="0055051D">
              <w:rPr>
                <w:rFonts w:cstheme="minorHAnsi"/>
              </w:rPr>
              <w:t xml:space="preserve"> temporary use</w:t>
            </w:r>
            <w:r w:rsidR="00CA1BA9">
              <w:rPr>
                <w:rFonts w:cstheme="minorHAnsi"/>
              </w:rPr>
              <w:t>s</w:t>
            </w:r>
            <w:r w:rsidR="0055051D" w:rsidRPr="0055051D">
              <w:rPr>
                <w:rFonts w:cstheme="minorHAnsi"/>
              </w:rPr>
              <w:t xml:space="preserve"> and structure</w:t>
            </w:r>
            <w:r w:rsidR="00CA1BA9">
              <w:rPr>
                <w:rFonts w:cstheme="minorHAnsi"/>
              </w:rPr>
              <w:t>s</w:t>
            </w:r>
            <w:r>
              <w:rPr>
                <w:rFonts w:cstheme="minorHAnsi"/>
              </w:rPr>
              <w:t>, regardless of whether a land use permit is required,</w:t>
            </w:r>
            <w:r w:rsidR="0055051D" w:rsidRPr="0055051D">
              <w:rPr>
                <w:rFonts w:cstheme="minorHAnsi"/>
              </w:rPr>
              <w:t xml:space="preserve"> are still subject to the criteria for approval in MICC 19.06.130(E), which would be enforced through the City’s </w:t>
            </w:r>
            <w:r w:rsidR="00CA1BA9">
              <w:rPr>
                <w:rFonts w:cstheme="minorHAnsi"/>
              </w:rPr>
              <w:t xml:space="preserve">standard </w:t>
            </w:r>
            <w:r w:rsidR="0055051D" w:rsidRPr="0055051D">
              <w:rPr>
                <w:rFonts w:cstheme="minorHAnsi"/>
              </w:rPr>
              <w:t>code enforcement process.</w:t>
            </w:r>
          </w:p>
          <w:p w14:paraId="0327262F" w14:textId="4A065F87" w:rsidR="0055051D" w:rsidRPr="0055051D" w:rsidRDefault="0055051D" w:rsidP="0055051D">
            <w:pPr>
              <w:spacing w:before="120"/>
              <w:rPr>
                <w:rFonts w:cstheme="minorHAnsi"/>
                <w:u w:val="single"/>
              </w:rPr>
            </w:pPr>
            <w:r w:rsidRPr="0055051D">
              <w:rPr>
                <w:rFonts w:cstheme="minorHAnsi"/>
                <w:u w:val="single"/>
              </w:rPr>
              <w:t xml:space="preserve">Summary of Amendments in </w:t>
            </w:r>
            <w:r w:rsidR="00490CD9">
              <w:rPr>
                <w:rFonts w:cstheme="minorHAnsi"/>
                <w:u w:val="single"/>
              </w:rPr>
              <w:t>Subsection</w:t>
            </w:r>
            <w:r w:rsidR="00490CD9" w:rsidRPr="0055051D">
              <w:rPr>
                <w:rFonts w:cstheme="minorHAnsi"/>
                <w:u w:val="single"/>
              </w:rPr>
              <w:t xml:space="preserve"> </w:t>
            </w:r>
            <w:r w:rsidRPr="0055051D">
              <w:rPr>
                <w:rFonts w:cstheme="minorHAnsi"/>
                <w:u w:val="single"/>
              </w:rPr>
              <w:t>A2</w:t>
            </w:r>
            <w:r w:rsidR="0024537B">
              <w:rPr>
                <w:rFonts w:cstheme="minorHAnsi"/>
                <w:u w:val="single"/>
              </w:rPr>
              <w:t xml:space="preserve"> – “Normal” Temporary Uses</w:t>
            </w:r>
          </w:p>
          <w:p w14:paraId="0FF09804" w14:textId="031E4C68" w:rsidR="0055051D" w:rsidRPr="0055051D" w:rsidRDefault="00490CD9" w:rsidP="0055051D">
            <w:pPr>
              <w:spacing w:before="120"/>
              <w:rPr>
                <w:rFonts w:cstheme="minorHAnsi"/>
              </w:rPr>
            </w:pPr>
            <w:r>
              <w:rPr>
                <w:rFonts w:cstheme="minorHAnsi"/>
              </w:rPr>
              <w:t xml:space="preserve">Subsection </w:t>
            </w:r>
            <w:r w:rsidR="0055051D" w:rsidRPr="0055051D">
              <w:rPr>
                <w:rFonts w:cstheme="minorHAnsi"/>
              </w:rPr>
              <w:t>A2 includes amendments in response to the Planning Commission’s feedback related to “normal” temporary uses, or those temporary uses and structures which require a</w:t>
            </w:r>
            <w:r>
              <w:rPr>
                <w:rFonts w:cstheme="minorHAnsi"/>
              </w:rPr>
              <w:t xml:space="preserve"> temporary use</w:t>
            </w:r>
            <w:r w:rsidR="0055051D" w:rsidRPr="0055051D">
              <w:rPr>
                <w:rFonts w:cstheme="minorHAnsi"/>
              </w:rPr>
              <w:t xml:space="preserve"> permit</w:t>
            </w:r>
            <w:r>
              <w:rPr>
                <w:rFonts w:cstheme="minorHAnsi"/>
              </w:rPr>
              <w:t xml:space="preserve"> subject to </w:t>
            </w:r>
            <w:r w:rsidR="0055051D" w:rsidRPr="0055051D">
              <w:rPr>
                <w:rFonts w:cstheme="minorHAnsi"/>
              </w:rPr>
              <w:t xml:space="preserve">the criteria listed in MICC 19.06.130(E). </w:t>
            </w:r>
          </w:p>
          <w:p w14:paraId="1906D29F" w14:textId="00985E58" w:rsidR="00490CD9" w:rsidRPr="006F395E" w:rsidRDefault="0055051D" w:rsidP="0055051D">
            <w:pPr>
              <w:spacing w:before="120"/>
              <w:rPr>
                <w:highlight w:val="yellow"/>
              </w:rPr>
            </w:pPr>
            <w:r w:rsidRPr="0055051D">
              <w:rPr>
                <w:rFonts w:cstheme="minorHAnsi"/>
              </w:rPr>
              <w:t>These temporary uses and structures</w:t>
            </w:r>
            <w:r w:rsidR="00490CD9">
              <w:rPr>
                <w:rFonts w:cstheme="minorHAnsi"/>
              </w:rPr>
              <w:t xml:space="preserve"> permit</w:t>
            </w:r>
            <w:r w:rsidRPr="0055051D">
              <w:rPr>
                <w:rFonts w:cstheme="minorHAnsi"/>
              </w:rPr>
              <w:t xml:space="preserve"> would be subject to the Type II land use review process, and permits would be valid for five years. </w:t>
            </w:r>
            <w:r w:rsidRPr="000C6448">
              <w:rPr>
                <w:rFonts w:cstheme="minorHAnsi"/>
              </w:rPr>
              <w:t xml:space="preserve">The Planning Commission requested that staff incorporate a renewal process for these types of permits, and the renewals should also be subject to the Type II land use review process. </w:t>
            </w:r>
            <w:r w:rsidR="00490CD9" w:rsidRPr="000C6448">
              <w:rPr>
                <w:rFonts w:cstheme="minorHAnsi"/>
              </w:rPr>
              <w:t>Rather than create a separate renewal process that would be substantially the same as the original permit application, the proposed draft simply requires a new application every five years. Unless the proposal has changed, the applicant can submit the same application materials every five years</w:t>
            </w:r>
            <w:r w:rsidR="00B106F5" w:rsidRPr="000C6448">
              <w:rPr>
                <w:rFonts w:cstheme="minorHAnsi"/>
              </w:rPr>
              <w:t xml:space="preserve"> to renew the temporary use permit</w:t>
            </w:r>
            <w:r w:rsidR="00490CD9" w:rsidRPr="000C6448">
              <w:rPr>
                <w:rFonts w:cstheme="minorHAnsi"/>
              </w:rPr>
              <w:t>.</w:t>
            </w:r>
          </w:p>
          <w:p w14:paraId="676FDBA6" w14:textId="4139F8BB" w:rsidR="0055051D" w:rsidRPr="00436141" w:rsidRDefault="0055051D" w:rsidP="0055051D">
            <w:pPr>
              <w:spacing w:before="120"/>
              <w:rPr>
                <w:rFonts w:cstheme="minorHAnsi"/>
                <w:u w:val="single"/>
              </w:rPr>
            </w:pPr>
            <w:r w:rsidRPr="00436141">
              <w:rPr>
                <w:rFonts w:cstheme="minorHAnsi"/>
                <w:u w:val="single"/>
              </w:rPr>
              <w:t xml:space="preserve">Summary of Amendments in </w:t>
            </w:r>
            <w:r w:rsidR="00B106F5">
              <w:rPr>
                <w:rFonts w:cstheme="minorHAnsi"/>
                <w:u w:val="single"/>
              </w:rPr>
              <w:t>Subsection</w:t>
            </w:r>
            <w:r w:rsidR="00B106F5" w:rsidRPr="00436141">
              <w:rPr>
                <w:rFonts w:cstheme="minorHAnsi"/>
                <w:u w:val="single"/>
              </w:rPr>
              <w:t xml:space="preserve"> </w:t>
            </w:r>
            <w:r w:rsidRPr="00436141">
              <w:rPr>
                <w:rFonts w:cstheme="minorHAnsi"/>
                <w:u w:val="single"/>
              </w:rPr>
              <w:t>A3</w:t>
            </w:r>
            <w:r w:rsidR="0024537B">
              <w:rPr>
                <w:rFonts w:cstheme="minorHAnsi"/>
                <w:u w:val="single"/>
              </w:rPr>
              <w:t xml:space="preserve"> – Temporary Use “Deviations”</w:t>
            </w:r>
          </w:p>
          <w:p w14:paraId="12EB771B" w14:textId="0A62A65F" w:rsidR="00B106F5" w:rsidRDefault="00B106F5" w:rsidP="0055051D">
            <w:pPr>
              <w:spacing w:before="120"/>
              <w:rPr>
                <w:rFonts w:cstheme="minorHAnsi"/>
              </w:rPr>
            </w:pPr>
            <w:r>
              <w:rPr>
                <w:rFonts w:cstheme="minorHAnsi"/>
              </w:rPr>
              <w:t xml:space="preserve">Subsection </w:t>
            </w:r>
            <w:r w:rsidR="0055051D">
              <w:rPr>
                <w:rFonts w:cstheme="minorHAnsi"/>
              </w:rPr>
              <w:t>A3 includes amendments in response to the Planning Commission’s feedback related to temporary structure “deviations”.</w:t>
            </w:r>
            <w:r>
              <w:rPr>
                <w:rFonts w:cstheme="minorHAnsi"/>
              </w:rPr>
              <w:t xml:space="preserve"> The updated draft proposes the following requirements for</w:t>
            </w:r>
            <w:r w:rsidR="0055051D">
              <w:rPr>
                <w:rFonts w:cstheme="minorHAnsi"/>
              </w:rPr>
              <w:t xml:space="preserve"> </w:t>
            </w:r>
            <w:r>
              <w:rPr>
                <w:rFonts w:cstheme="minorHAnsi"/>
              </w:rPr>
              <w:t>Temporary structure deviations:</w:t>
            </w:r>
          </w:p>
          <w:p w14:paraId="502D3EE4" w14:textId="0B9BD1AF" w:rsidR="00B106F5" w:rsidRDefault="00B106F5" w:rsidP="00B106F5">
            <w:pPr>
              <w:pStyle w:val="ListParagraph"/>
              <w:numPr>
                <w:ilvl w:val="0"/>
                <w:numId w:val="27"/>
              </w:numPr>
              <w:spacing w:before="120"/>
              <w:rPr>
                <w:rFonts w:cstheme="minorHAnsi"/>
              </w:rPr>
            </w:pPr>
            <w:r>
              <w:rPr>
                <w:rFonts w:cstheme="minorHAnsi"/>
              </w:rPr>
              <w:t xml:space="preserve">They </w:t>
            </w:r>
            <w:r w:rsidR="0055051D" w:rsidRPr="00B106F5">
              <w:rPr>
                <w:rFonts w:cstheme="minorHAnsi"/>
              </w:rPr>
              <w:t xml:space="preserve">must meet </w:t>
            </w:r>
            <w:proofErr w:type="gramStart"/>
            <w:r w:rsidR="0055051D" w:rsidRPr="00B106F5">
              <w:rPr>
                <w:rFonts w:cstheme="minorHAnsi"/>
              </w:rPr>
              <w:t>all of</w:t>
            </w:r>
            <w:proofErr w:type="gramEnd"/>
            <w:r w:rsidR="0055051D" w:rsidRPr="00B106F5">
              <w:rPr>
                <w:rFonts w:cstheme="minorHAnsi"/>
              </w:rPr>
              <w:t xml:space="preserve"> the criteria for approval in subsection (E) and (F). </w:t>
            </w:r>
          </w:p>
          <w:p w14:paraId="5354DDE0" w14:textId="13A3E56D" w:rsidR="00B106F5" w:rsidRDefault="00B106F5" w:rsidP="00B106F5">
            <w:pPr>
              <w:pStyle w:val="ListParagraph"/>
              <w:numPr>
                <w:ilvl w:val="0"/>
                <w:numId w:val="27"/>
              </w:numPr>
              <w:spacing w:before="120"/>
              <w:rPr>
                <w:rFonts w:cstheme="minorHAnsi"/>
              </w:rPr>
            </w:pPr>
            <w:r>
              <w:rPr>
                <w:rFonts w:cstheme="minorHAnsi"/>
              </w:rPr>
              <w:t>They will</w:t>
            </w:r>
            <w:r w:rsidR="0055051D" w:rsidRPr="00B106F5">
              <w:rPr>
                <w:rFonts w:cstheme="minorHAnsi"/>
              </w:rPr>
              <w:t xml:space="preserve"> be processed as a Type III land use review</w:t>
            </w:r>
            <w:r>
              <w:rPr>
                <w:rFonts w:cstheme="minorHAnsi"/>
              </w:rPr>
              <w:t>.</w:t>
            </w:r>
          </w:p>
          <w:p w14:paraId="490CA2C1" w14:textId="74379D1D" w:rsidR="00B106F5" w:rsidRDefault="00B106F5" w:rsidP="00B106F5">
            <w:pPr>
              <w:pStyle w:val="ListParagraph"/>
              <w:numPr>
                <w:ilvl w:val="0"/>
                <w:numId w:val="27"/>
              </w:numPr>
              <w:spacing w:before="120"/>
              <w:rPr>
                <w:rFonts w:cstheme="minorHAnsi"/>
              </w:rPr>
            </w:pPr>
            <w:r>
              <w:rPr>
                <w:rFonts w:cstheme="minorHAnsi"/>
              </w:rPr>
              <w:t xml:space="preserve">They </w:t>
            </w:r>
            <w:r w:rsidR="0055051D" w:rsidRPr="00B106F5">
              <w:rPr>
                <w:rFonts w:cstheme="minorHAnsi"/>
              </w:rPr>
              <w:t>include an option for an abbreviated renewal process every five years, over a 20-year period.</w:t>
            </w:r>
          </w:p>
          <w:p w14:paraId="70C9959E" w14:textId="47CF4A71" w:rsidR="00B106F5" w:rsidRDefault="00B106F5" w:rsidP="00B106F5">
            <w:pPr>
              <w:pStyle w:val="ListParagraph"/>
              <w:numPr>
                <w:ilvl w:val="0"/>
                <w:numId w:val="27"/>
              </w:numPr>
              <w:spacing w:before="120"/>
              <w:rPr>
                <w:rFonts w:cstheme="minorHAnsi"/>
              </w:rPr>
            </w:pPr>
            <w:r>
              <w:rPr>
                <w:rFonts w:cstheme="minorHAnsi"/>
              </w:rPr>
              <w:t xml:space="preserve">The criteria for approval </w:t>
            </w:r>
            <w:r w:rsidR="0055051D" w:rsidRPr="00B106F5">
              <w:rPr>
                <w:rFonts w:cstheme="minorHAnsi"/>
              </w:rPr>
              <w:t xml:space="preserve">addresses screening, setbacks, building height, and public benefit. </w:t>
            </w:r>
            <w:r w:rsidR="009E764D">
              <w:rPr>
                <w:rFonts w:cstheme="minorHAnsi"/>
              </w:rPr>
              <w:t>The screening requirement includes the following considerations:</w:t>
            </w:r>
          </w:p>
          <w:p w14:paraId="0F2C5FBA" w14:textId="0DC1E458" w:rsidR="009E764D" w:rsidRPr="000C6448" w:rsidRDefault="009E764D" w:rsidP="00B106F5">
            <w:pPr>
              <w:pStyle w:val="ListParagraph"/>
              <w:numPr>
                <w:ilvl w:val="1"/>
                <w:numId w:val="27"/>
              </w:numPr>
              <w:spacing w:before="120"/>
              <w:rPr>
                <w:rFonts w:cstheme="minorHAnsi"/>
              </w:rPr>
            </w:pPr>
            <w:r w:rsidRPr="000C6448">
              <w:rPr>
                <w:rFonts w:cstheme="minorHAnsi"/>
              </w:rPr>
              <w:t>T</w:t>
            </w:r>
            <w:r w:rsidR="00B106F5" w:rsidRPr="000C6448">
              <w:rPr>
                <w:rFonts w:cstheme="minorHAnsi"/>
              </w:rPr>
              <w:t xml:space="preserve">he proposed </w:t>
            </w:r>
            <w:r w:rsidR="0055051D" w:rsidRPr="000C6448">
              <w:rPr>
                <w:rFonts w:cstheme="minorHAnsi"/>
              </w:rPr>
              <w:t>screening</w:t>
            </w:r>
            <w:r w:rsidR="00B106F5" w:rsidRPr="000C6448">
              <w:rPr>
                <w:rFonts w:cstheme="minorHAnsi"/>
              </w:rPr>
              <w:t xml:space="preserve"> requirement would</w:t>
            </w:r>
            <w:r w:rsidR="0055051D" w:rsidRPr="000C6448">
              <w:rPr>
                <w:rFonts w:cstheme="minorHAnsi"/>
              </w:rPr>
              <w:t xml:space="preserve"> only</w:t>
            </w:r>
            <w:r w:rsidR="00B106F5" w:rsidRPr="000C6448">
              <w:rPr>
                <w:rFonts w:cstheme="minorHAnsi"/>
              </w:rPr>
              <w:t xml:space="preserve"> be</w:t>
            </w:r>
            <w:r w:rsidR="0055051D" w:rsidRPr="000C6448">
              <w:rPr>
                <w:rFonts w:cstheme="minorHAnsi"/>
              </w:rPr>
              <w:t xml:space="preserve"> required for those temporary structure deviations that would be in operation for more than 30 days</w:t>
            </w:r>
            <w:r w:rsidR="00B106F5" w:rsidRPr="000C6448">
              <w:rPr>
                <w:rFonts w:cstheme="minorHAnsi"/>
              </w:rPr>
              <w:t xml:space="preserve">. </w:t>
            </w:r>
          </w:p>
          <w:p w14:paraId="4C167067" w14:textId="588E9EC7" w:rsidR="009E764D" w:rsidRDefault="00B106F5" w:rsidP="00B106F5">
            <w:pPr>
              <w:pStyle w:val="ListParagraph"/>
              <w:numPr>
                <w:ilvl w:val="1"/>
                <w:numId w:val="27"/>
              </w:numPr>
              <w:spacing w:before="120"/>
              <w:rPr>
                <w:rFonts w:cstheme="minorHAnsi"/>
              </w:rPr>
            </w:pPr>
            <w:r w:rsidRPr="000C6448">
              <w:rPr>
                <w:rFonts w:cstheme="minorHAnsi"/>
              </w:rPr>
              <w:t xml:space="preserve">The staff recommendation is for the required screening </w:t>
            </w:r>
            <w:r>
              <w:rPr>
                <w:rFonts w:cstheme="minorHAnsi"/>
              </w:rPr>
              <w:t xml:space="preserve">to be temporary because the </w:t>
            </w:r>
            <w:r w:rsidR="009E764D">
              <w:rPr>
                <w:rFonts w:cstheme="minorHAnsi"/>
              </w:rPr>
              <w:t xml:space="preserve">use or </w:t>
            </w:r>
            <w:r>
              <w:rPr>
                <w:rFonts w:cstheme="minorHAnsi"/>
              </w:rPr>
              <w:t xml:space="preserve">structure </w:t>
            </w:r>
            <w:r w:rsidRPr="006F395E">
              <w:t xml:space="preserve">it would </w:t>
            </w:r>
            <w:r>
              <w:rPr>
                <w:rFonts w:cstheme="minorHAnsi"/>
              </w:rPr>
              <w:t>screen would also be temporary. Requiring</w:t>
            </w:r>
            <w:r w:rsidRPr="006F395E">
              <w:t xml:space="preserve"> permanent screening, such as landscaping, for temporary </w:t>
            </w:r>
            <w:proofErr w:type="gramStart"/>
            <w:r>
              <w:rPr>
                <w:rFonts w:cstheme="minorHAnsi"/>
              </w:rPr>
              <w:t>uses</w:t>
            </w:r>
            <w:proofErr w:type="gramEnd"/>
            <w:r>
              <w:rPr>
                <w:rFonts w:cstheme="minorHAnsi"/>
              </w:rPr>
              <w:t xml:space="preserve"> could run the risk of the requirement being out of proportion with the proposed development. </w:t>
            </w:r>
          </w:p>
          <w:p w14:paraId="03F389AE" w14:textId="04E9BD0F" w:rsidR="0055051D" w:rsidRPr="000C6448" w:rsidRDefault="0055051D" w:rsidP="006F395E">
            <w:pPr>
              <w:pStyle w:val="ListParagraph"/>
              <w:numPr>
                <w:ilvl w:val="1"/>
                <w:numId w:val="27"/>
              </w:numPr>
              <w:spacing w:before="120"/>
              <w:rPr>
                <w:rFonts w:cstheme="minorHAnsi"/>
              </w:rPr>
            </w:pPr>
            <w:r w:rsidRPr="000C6448">
              <w:rPr>
                <w:rFonts w:cstheme="minorHAnsi"/>
              </w:rPr>
              <w:t>The terminology used in th</w:t>
            </w:r>
            <w:r w:rsidR="00B106F5" w:rsidRPr="000C6448">
              <w:rPr>
                <w:rFonts w:cstheme="minorHAnsi"/>
              </w:rPr>
              <w:t>e proposed screening</w:t>
            </w:r>
            <w:r w:rsidRPr="000C6448">
              <w:rPr>
                <w:rFonts w:cstheme="minorHAnsi"/>
              </w:rPr>
              <w:t xml:space="preserve"> standard is also intentionally broad to allow the applicant to be able to propose temporary sight-obscuring screening that makes sense for the use, site, and budget for the temporary structure. </w:t>
            </w:r>
          </w:p>
          <w:p w14:paraId="52D705EC" w14:textId="70B46C46" w:rsidR="009E764D" w:rsidRDefault="009E764D" w:rsidP="0055051D">
            <w:pPr>
              <w:spacing w:before="120"/>
              <w:rPr>
                <w:rFonts w:cstheme="minorHAnsi"/>
              </w:rPr>
            </w:pPr>
            <w:r>
              <w:rPr>
                <w:rFonts w:cstheme="minorHAnsi"/>
                <w:b/>
                <w:bCs/>
              </w:rPr>
              <w:t>Category</w:t>
            </w:r>
            <w:r w:rsidRPr="00431182">
              <w:rPr>
                <w:rFonts w:cstheme="minorHAnsi"/>
                <w:b/>
                <w:bCs/>
              </w:rPr>
              <w:t xml:space="preserve"> </w:t>
            </w:r>
            <w:r w:rsidR="006B79FE" w:rsidRPr="00431182">
              <w:rPr>
                <w:rFonts w:cstheme="minorHAnsi"/>
                <w:b/>
                <w:bCs/>
              </w:rPr>
              <w:t>B</w:t>
            </w:r>
            <w:r w:rsidR="00FC5DF1">
              <w:rPr>
                <w:rFonts w:cstheme="minorHAnsi"/>
              </w:rPr>
              <w:t xml:space="preserve"> – Amendments recommended or initiated by staff. </w:t>
            </w:r>
            <w:r w:rsidR="0024537B">
              <w:rPr>
                <w:rFonts w:cstheme="minorHAnsi"/>
              </w:rPr>
              <w:t xml:space="preserve">Staff </w:t>
            </w:r>
            <w:r w:rsidR="00492850">
              <w:rPr>
                <w:rFonts w:cstheme="minorHAnsi"/>
              </w:rPr>
              <w:t>propose</w:t>
            </w:r>
            <w:r w:rsidR="0024537B">
              <w:rPr>
                <w:rFonts w:cstheme="minorHAnsi"/>
              </w:rPr>
              <w:t xml:space="preserve"> the amendments in </w:t>
            </w:r>
            <w:r>
              <w:rPr>
                <w:rFonts w:cstheme="minorHAnsi"/>
              </w:rPr>
              <w:t>Category</w:t>
            </w:r>
            <w:r w:rsidR="0024537B">
              <w:rPr>
                <w:rFonts w:cstheme="minorHAnsi"/>
              </w:rPr>
              <w:t xml:space="preserve"> B to maintain consistency </w:t>
            </w:r>
            <w:r>
              <w:rPr>
                <w:rFonts w:cstheme="minorHAnsi"/>
              </w:rPr>
              <w:t>after addressing the Planning Commission input in Category A.</w:t>
            </w:r>
            <w:r w:rsidR="0024537B">
              <w:rPr>
                <w:rFonts w:cstheme="minorHAnsi"/>
              </w:rPr>
              <w:t xml:space="preserve"> </w:t>
            </w:r>
            <w:r>
              <w:rPr>
                <w:rFonts w:cstheme="minorHAnsi"/>
              </w:rPr>
              <w:t xml:space="preserve">Category </w:t>
            </w:r>
            <w:r w:rsidR="00431182">
              <w:rPr>
                <w:rFonts w:cstheme="minorHAnsi"/>
              </w:rPr>
              <w:t xml:space="preserve">B includes </w:t>
            </w:r>
            <w:r w:rsidR="00E1099D">
              <w:rPr>
                <w:rFonts w:cstheme="minorHAnsi"/>
              </w:rPr>
              <w:t>eight</w:t>
            </w:r>
            <w:r w:rsidR="00431182">
              <w:rPr>
                <w:rFonts w:cstheme="minorHAnsi"/>
              </w:rPr>
              <w:t xml:space="preserve"> amendments, which are included in Exhibit 1</w:t>
            </w:r>
            <w:r w:rsidR="006129F8">
              <w:rPr>
                <w:rFonts w:cstheme="minorHAnsi"/>
              </w:rPr>
              <w:t xml:space="preserve"> and summarized below</w:t>
            </w:r>
            <w:r w:rsidR="00431182">
              <w:rPr>
                <w:rFonts w:cstheme="minorHAnsi"/>
              </w:rPr>
              <w:t xml:space="preserve">. </w:t>
            </w:r>
            <w:r w:rsidR="006C6913">
              <w:rPr>
                <w:rFonts w:cstheme="minorHAnsi"/>
              </w:rPr>
              <w:t xml:space="preserve">During the July 23 meeting, </w:t>
            </w:r>
            <w:r>
              <w:rPr>
                <w:rFonts w:cstheme="minorHAnsi"/>
              </w:rPr>
              <w:t>staff will walk the Planning Commission through the eight amendments in Category B. The Planning Commission can then make a motion to address all of Category B at once. If the Planning Commission would like to discuss any one of the amendments in Category B further, they can use the following reference numbers:</w:t>
            </w:r>
          </w:p>
          <w:p w14:paraId="2378301F" w14:textId="1BBFBC31" w:rsidR="00431182" w:rsidRDefault="00BE37A6" w:rsidP="000C6448">
            <w:pPr>
              <w:pStyle w:val="ListParagraph"/>
              <w:numPr>
                <w:ilvl w:val="0"/>
                <w:numId w:val="25"/>
              </w:numPr>
              <w:tabs>
                <w:tab w:val="left" w:pos="2220"/>
              </w:tabs>
              <w:spacing w:before="120"/>
              <w:ind w:left="1230" w:hanging="510"/>
              <w:rPr>
                <w:rFonts w:cstheme="minorHAnsi"/>
              </w:rPr>
            </w:pPr>
            <w:r w:rsidRPr="00BE37A6">
              <w:rPr>
                <w:rFonts w:cstheme="minorHAnsi"/>
              </w:rPr>
              <w:t>Adds “structures” to the title and permit requirements</w:t>
            </w:r>
            <w:r w:rsidR="000C6448">
              <w:rPr>
                <w:rFonts w:cstheme="minorHAnsi"/>
              </w:rPr>
              <w:t xml:space="preserve"> in MICC 19.06.130(B)(1)</w:t>
            </w:r>
            <w:r w:rsidRPr="00BE37A6">
              <w:rPr>
                <w:rFonts w:cstheme="minorHAnsi"/>
              </w:rPr>
              <w:t xml:space="preserve"> to clarify that this chapter is for both temporary uses and structures. </w:t>
            </w:r>
          </w:p>
          <w:p w14:paraId="402B84E0" w14:textId="69DA97AD" w:rsidR="00BE37A6" w:rsidRDefault="007D41C0" w:rsidP="000C6448">
            <w:pPr>
              <w:pStyle w:val="ListParagraph"/>
              <w:numPr>
                <w:ilvl w:val="0"/>
                <w:numId w:val="25"/>
              </w:numPr>
              <w:tabs>
                <w:tab w:val="left" w:pos="2220"/>
              </w:tabs>
              <w:spacing w:before="120"/>
              <w:ind w:left="1230" w:hanging="510"/>
              <w:rPr>
                <w:rFonts w:cstheme="minorHAnsi"/>
              </w:rPr>
            </w:pPr>
            <w:r>
              <w:rPr>
                <w:rFonts w:cstheme="minorHAnsi"/>
              </w:rPr>
              <w:t>Establishes a term limit for garage, yard, estate, rummage, and other outdoor sales of 30 days in a calendar year</w:t>
            </w:r>
            <w:r w:rsidR="000C6448">
              <w:rPr>
                <w:rFonts w:cstheme="minorHAnsi"/>
              </w:rPr>
              <w:t xml:space="preserve"> in MICC 19.06.130(D)(3) and (4)</w:t>
            </w:r>
            <w:r>
              <w:rPr>
                <w:rFonts w:cstheme="minorHAnsi"/>
              </w:rPr>
              <w:t xml:space="preserve">. </w:t>
            </w:r>
            <w:r w:rsidR="000C6448">
              <w:rPr>
                <w:rFonts w:cstheme="minorHAnsi"/>
              </w:rPr>
              <w:t>Also changes the term “church” to “</w:t>
            </w:r>
            <w:r w:rsidR="00230DE1">
              <w:rPr>
                <w:rFonts w:cstheme="minorHAnsi"/>
              </w:rPr>
              <w:t>place of worship</w:t>
            </w:r>
            <w:r w:rsidR="000C6448">
              <w:rPr>
                <w:rFonts w:cstheme="minorHAnsi"/>
              </w:rPr>
              <w:t>”</w:t>
            </w:r>
            <w:r w:rsidR="00230DE1">
              <w:rPr>
                <w:rFonts w:cstheme="minorHAnsi"/>
              </w:rPr>
              <w:t xml:space="preserve"> for consistency with </w:t>
            </w:r>
            <w:r w:rsidR="00B63E67">
              <w:rPr>
                <w:rFonts w:cstheme="minorHAnsi"/>
              </w:rPr>
              <w:t>existing definitions</w:t>
            </w:r>
            <w:r w:rsidR="000C6448">
              <w:rPr>
                <w:rFonts w:cstheme="minorHAnsi"/>
              </w:rPr>
              <w:t>.</w:t>
            </w:r>
          </w:p>
          <w:p w14:paraId="02019082" w14:textId="018E39CA" w:rsidR="00BE37A6" w:rsidRDefault="007D41C0" w:rsidP="000C6448">
            <w:pPr>
              <w:pStyle w:val="ListParagraph"/>
              <w:numPr>
                <w:ilvl w:val="0"/>
                <w:numId w:val="25"/>
              </w:numPr>
              <w:tabs>
                <w:tab w:val="left" w:pos="2220"/>
              </w:tabs>
              <w:spacing w:before="120"/>
              <w:ind w:left="1230" w:hanging="510"/>
              <w:rPr>
                <w:rFonts w:cstheme="minorHAnsi"/>
              </w:rPr>
            </w:pPr>
            <w:r>
              <w:rPr>
                <w:rFonts w:cstheme="minorHAnsi"/>
              </w:rPr>
              <w:lastRenderedPageBreak/>
              <w:t>A</w:t>
            </w:r>
            <w:r w:rsidR="0055051D">
              <w:rPr>
                <w:rFonts w:cstheme="minorHAnsi"/>
              </w:rPr>
              <w:t>n a</w:t>
            </w:r>
            <w:r>
              <w:rPr>
                <w:rFonts w:cstheme="minorHAnsi"/>
              </w:rPr>
              <w:t>mendment</w:t>
            </w:r>
            <w:r w:rsidR="000C6448">
              <w:rPr>
                <w:rFonts w:cstheme="minorHAnsi"/>
              </w:rPr>
              <w:t xml:space="preserve"> to MICC 19.06.130(D)(5)(a)</w:t>
            </w:r>
            <w:r>
              <w:rPr>
                <w:rFonts w:cstheme="minorHAnsi"/>
              </w:rPr>
              <w:t xml:space="preserve"> by Commissioner Nice for construction-related activities, which was originally </w:t>
            </w:r>
            <w:r w:rsidR="00CE6D80">
              <w:rPr>
                <w:rFonts w:cstheme="minorHAnsi"/>
              </w:rPr>
              <w:t xml:space="preserve">Log 20 and </w:t>
            </w:r>
            <w:r>
              <w:rPr>
                <w:rFonts w:cstheme="minorHAnsi"/>
              </w:rPr>
              <w:t xml:space="preserve">pulled from the “minor” amendments category during the June 10 hearing due to last minute amendments and a desire for further discussion. The amendment includes establishing a specific size limitation for contractor’s offices, adds “equipment” to clarify the applicability of “servicing” and sets a duration that is only intended for the equipment servicing. Staff amended a portion of the original amendment to call out the specific zones, instead of using the general “R zone” term. </w:t>
            </w:r>
            <w:r w:rsidR="000C6448">
              <w:rPr>
                <w:rFonts w:cstheme="minorHAnsi"/>
              </w:rPr>
              <w:t>This item also includes an amendment to MICC 19.06.130(D)(5)(b) to add “equipment” for consistency.</w:t>
            </w:r>
          </w:p>
          <w:p w14:paraId="4540B66C" w14:textId="77944CD1" w:rsidR="00BE37A6" w:rsidRDefault="00CE6D80" w:rsidP="000C6448">
            <w:pPr>
              <w:pStyle w:val="ListParagraph"/>
              <w:numPr>
                <w:ilvl w:val="0"/>
                <w:numId w:val="25"/>
              </w:numPr>
              <w:tabs>
                <w:tab w:val="left" w:pos="2220"/>
              </w:tabs>
              <w:spacing w:before="120"/>
              <w:ind w:left="1230" w:hanging="510"/>
              <w:rPr>
                <w:rFonts w:cstheme="minorHAnsi"/>
              </w:rPr>
            </w:pPr>
            <w:r>
              <w:rPr>
                <w:rFonts w:cstheme="minorHAnsi"/>
              </w:rPr>
              <w:t xml:space="preserve">Adds three additional criteria to </w:t>
            </w:r>
            <w:r w:rsidR="000C6448">
              <w:rPr>
                <w:rFonts w:cstheme="minorHAnsi"/>
              </w:rPr>
              <w:t>MICC 19.06.130(E)(1) for criteria for approval</w:t>
            </w:r>
            <w:r>
              <w:rPr>
                <w:rFonts w:cstheme="minorHAnsi"/>
              </w:rPr>
              <w:t xml:space="preserve">. These criteria were originally included in the additional approval criteria for mobile food vendors and outdoor dining. These uses have since been included in the “normal” temporary uses category. The three criteria related to additional permits and approval from other agencies and parking are recommended to be included in the general criteria for approval section for all temporary uses. </w:t>
            </w:r>
          </w:p>
          <w:p w14:paraId="20196012" w14:textId="0F0A2F28" w:rsidR="00BE37A6" w:rsidRDefault="0055051D" w:rsidP="000C6448">
            <w:pPr>
              <w:pStyle w:val="ListParagraph"/>
              <w:numPr>
                <w:ilvl w:val="0"/>
                <w:numId w:val="25"/>
              </w:numPr>
              <w:tabs>
                <w:tab w:val="left" w:pos="2220"/>
              </w:tabs>
              <w:spacing w:before="120"/>
              <w:ind w:left="1230" w:hanging="510"/>
              <w:rPr>
                <w:rFonts w:cstheme="minorHAnsi"/>
              </w:rPr>
            </w:pPr>
            <w:r>
              <w:rPr>
                <w:rFonts w:cstheme="minorHAnsi"/>
              </w:rPr>
              <w:t>An amendment</w:t>
            </w:r>
            <w:r w:rsidR="00CE6D80">
              <w:rPr>
                <w:rFonts w:cstheme="minorHAnsi"/>
              </w:rPr>
              <w:t xml:space="preserve"> </w:t>
            </w:r>
            <w:r w:rsidR="000C6448">
              <w:rPr>
                <w:rFonts w:cstheme="minorHAnsi"/>
              </w:rPr>
              <w:t>to MICC 19.06.130(E)(1)(</w:t>
            </w:r>
            <w:proofErr w:type="spellStart"/>
            <w:r w:rsidR="000C6448">
              <w:rPr>
                <w:rFonts w:cstheme="minorHAnsi"/>
              </w:rPr>
              <w:t>i</w:t>
            </w:r>
            <w:proofErr w:type="spellEnd"/>
            <w:r w:rsidR="000C6448">
              <w:rPr>
                <w:rFonts w:cstheme="minorHAnsi"/>
              </w:rPr>
              <w:t xml:space="preserve">) </w:t>
            </w:r>
            <w:r w:rsidR="00CE6D80">
              <w:rPr>
                <w:rFonts w:cstheme="minorHAnsi"/>
              </w:rPr>
              <w:t xml:space="preserve">by Commissioner Nice for mechanical equipment, which was originally Log 29b. Staff recommend including this amendment for the setbacks established for mechanical equipment abutting properties within the single-family zone. </w:t>
            </w:r>
          </w:p>
          <w:p w14:paraId="17768464" w14:textId="129A867C" w:rsidR="00BE37A6" w:rsidRDefault="00E1099D" w:rsidP="000C6448">
            <w:pPr>
              <w:pStyle w:val="ListParagraph"/>
              <w:numPr>
                <w:ilvl w:val="0"/>
                <w:numId w:val="25"/>
              </w:numPr>
              <w:tabs>
                <w:tab w:val="left" w:pos="2220"/>
              </w:tabs>
              <w:spacing w:before="120"/>
              <w:ind w:left="1230" w:hanging="510"/>
              <w:rPr>
                <w:rFonts w:cstheme="minorHAnsi"/>
              </w:rPr>
            </w:pPr>
            <w:r>
              <w:rPr>
                <w:rFonts w:cstheme="minorHAnsi"/>
              </w:rPr>
              <w:t xml:space="preserve">Establishes a time limitation </w:t>
            </w:r>
            <w:r w:rsidR="000C6448">
              <w:rPr>
                <w:rFonts w:cstheme="minorHAnsi"/>
              </w:rPr>
              <w:t xml:space="preserve">in MICC 19.06.130(G) and (H) </w:t>
            </w:r>
            <w:r>
              <w:rPr>
                <w:rFonts w:cstheme="minorHAnsi"/>
              </w:rPr>
              <w:t xml:space="preserve">for all temporary uses and structures. This amendment also includes an option for extension by the </w:t>
            </w:r>
            <w:proofErr w:type="gramStart"/>
            <w:r>
              <w:rPr>
                <w:rFonts w:cstheme="minorHAnsi"/>
              </w:rPr>
              <w:t>code official</w:t>
            </w:r>
            <w:proofErr w:type="gramEnd"/>
            <w:r>
              <w:rPr>
                <w:rFonts w:cstheme="minorHAnsi"/>
              </w:rPr>
              <w:t xml:space="preserve">. </w:t>
            </w:r>
          </w:p>
          <w:p w14:paraId="0C1CFE62" w14:textId="12BBA305" w:rsidR="00BE37A6" w:rsidRDefault="00E1099D" w:rsidP="000C6448">
            <w:pPr>
              <w:pStyle w:val="ListParagraph"/>
              <w:numPr>
                <w:ilvl w:val="0"/>
                <w:numId w:val="25"/>
              </w:numPr>
              <w:tabs>
                <w:tab w:val="left" w:pos="2220"/>
              </w:tabs>
              <w:spacing w:before="120"/>
              <w:ind w:left="1230" w:hanging="510"/>
              <w:rPr>
                <w:rFonts w:cstheme="minorHAnsi"/>
              </w:rPr>
            </w:pPr>
            <w:r>
              <w:rPr>
                <w:rFonts w:cstheme="minorHAnsi"/>
              </w:rPr>
              <w:t>Removes reference to the Design Commission</w:t>
            </w:r>
            <w:r w:rsidR="000C6448">
              <w:rPr>
                <w:rFonts w:cstheme="minorHAnsi"/>
              </w:rPr>
              <w:t xml:space="preserve"> in MICC 19.06.050(E)</w:t>
            </w:r>
            <w:r>
              <w:rPr>
                <w:rFonts w:cstheme="minorHAnsi"/>
              </w:rPr>
              <w:t xml:space="preserve">, which </w:t>
            </w:r>
            <w:r w:rsidR="00CA1BA9">
              <w:rPr>
                <w:rFonts w:cstheme="minorHAnsi"/>
              </w:rPr>
              <w:t>has been dissolved</w:t>
            </w:r>
            <w:r>
              <w:rPr>
                <w:rFonts w:cstheme="minorHAnsi"/>
              </w:rPr>
              <w:t xml:space="preserve">. </w:t>
            </w:r>
          </w:p>
          <w:p w14:paraId="515517DE" w14:textId="797F036E" w:rsidR="008719FF" w:rsidRPr="00F6662A" w:rsidRDefault="00E1099D" w:rsidP="000C6448">
            <w:pPr>
              <w:pStyle w:val="ListParagraph"/>
              <w:numPr>
                <w:ilvl w:val="0"/>
                <w:numId w:val="25"/>
              </w:numPr>
              <w:tabs>
                <w:tab w:val="left" w:pos="2220"/>
              </w:tabs>
              <w:spacing w:before="120"/>
              <w:ind w:left="1230" w:hanging="510"/>
              <w:rPr>
                <w:rFonts w:cstheme="minorHAnsi"/>
              </w:rPr>
            </w:pPr>
            <w:r>
              <w:rPr>
                <w:rFonts w:cstheme="minorHAnsi"/>
              </w:rPr>
              <w:t xml:space="preserve">Amends MICC 19.15.030(H) Table A to include the permit types as established in Bucket A and shown in Exhibit 1. </w:t>
            </w:r>
          </w:p>
        </w:tc>
      </w:tr>
      <w:tr w:rsidR="00BE37A6" w:rsidRPr="007C6996" w14:paraId="1B5D873C" w14:textId="77777777" w:rsidTr="004105F0">
        <w:tc>
          <w:tcPr>
            <w:tcW w:w="10070" w:type="dxa"/>
            <w:tcBorders>
              <w:top w:val="single" w:sz="4" w:space="0" w:color="auto"/>
            </w:tcBorders>
          </w:tcPr>
          <w:p w14:paraId="3AEC6EA5" w14:textId="77777777" w:rsidR="00BE37A6" w:rsidRDefault="00BE37A6" w:rsidP="006F395E">
            <w:pPr>
              <w:rPr>
                <w:b/>
                <w:bCs/>
              </w:rPr>
            </w:pPr>
          </w:p>
        </w:tc>
      </w:tr>
      <w:tr w:rsidR="00F71CA9" w:rsidRPr="007C6996" w14:paraId="0D39057A" w14:textId="77777777" w:rsidTr="00C84C42">
        <w:tc>
          <w:tcPr>
            <w:tcW w:w="10070" w:type="dxa"/>
            <w:tcBorders>
              <w:top w:val="single" w:sz="4" w:space="0" w:color="auto"/>
              <w:left w:val="single" w:sz="4" w:space="0" w:color="auto"/>
              <w:bottom w:val="single" w:sz="4" w:space="0" w:color="auto"/>
              <w:right w:val="single" w:sz="4" w:space="0" w:color="auto"/>
            </w:tcBorders>
            <w:shd w:val="clear" w:color="auto" w:fill="0068B4"/>
          </w:tcPr>
          <w:p w14:paraId="1ABE2FB5" w14:textId="77777777" w:rsidR="00F71CA9" w:rsidRPr="007C6996" w:rsidRDefault="00F71CA9">
            <w:pPr>
              <w:rPr>
                <w:rFonts w:cstheme="minorHAnsi"/>
                <w:b/>
                <w:bCs/>
                <w:sz w:val="28"/>
                <w:szCs w:val="28"/>
              </w:rPr>
            </w:pPr>
            <w:r w:rsidRPr="00C84C42">
              <w:rPr>
                <w:rFonts w:cstheme="minorHAnsi"/>
                <w:b/>
                <w:bCs/>
                <w:color w:val="FFFFFF" w:themeColor="background1"/>
                <w:sz w:val="28"/>
                <w:szCs w:val="28"/>
              </w:rPr>
              <w:t>NEXT STEPS</w:t>
            </w:r>
          </w:p>
        </w:tc>
      </w:tr>
      <w:tr w:rsidR="00F71CA9" w:rsidRPr="007C6996" w14:paraId="47325C9B" w14:textId="77777777" w:rsidTr="00E01B76">
        <w:tc>
          <w:tcPr>
            <w:tcW w:w="10070" w:type="dxa"/>
            <w:tcBorders>
              <w:top w:val="single" w:sz="4" w:space="0" w:color="auto"/>
            </w:tcBorders>
          </w:tcPr>
          <w:p w14:paraId="5F93E12D" w14:textId="03415A54" w:rsidR="00D71A6C" w:rsidRPr="00D71A6C" w:rsidRDefault="006129F8" w:rsidP="006F395E">
            <w:pPr>
              <w:pStyle w:val="ListParagraph"/>
              <w:spacing w:before="120"/>
              <w:ind w:left="0"/>
              <w:rPr>
                <w:rFonts w:cstheme="minorHAnsi"/>
              </w:rPr>
            </w:pPr>
            <w:r>
              <w:rPr>
                <w:rFonts w:cstheme="minorHAnsi"/>
              </w:rPr>
              <w:t>A City</w:t>
            </w:r>
            <w:r w:rsidR="00D71A6C">
              <w:rPr>
                <w:rFonts w:cstheme="minorHAnsi"/>
              </w:rPr>
              <w:t xml:space="preserve"> Council briefing on </w:t>
            </w:r>
            <w:r w:rsidR="00CA1BA9">
              <w:rPr>
                <w:rFonts w:cstheme="minorHAnsi"/>
              </w:rPr>
              <w:t xml:space="preserve">the </w:t>
            </w:r>
            <w:r w:rsidR="00D71A6C">
              <w:rPr>
                <w:rFonts w:cstheme="minorHAnsi"/>
              </w:rPr>
              <w:t xml:space="preserve">PC recommendation and first </w:t>
            </w:r>
            <w:r w:rsidR="00CA1BA9">
              <w:rPr>
                <w:rFonts w:cstheme="minorHAnsi"/>
              </w:rPr>
              <w:t xml:space="preserve">and second </w:t>
            </w:r>
            <w:r w:rsidR="00D71A6C">
              <w:rPr>
                <w:rFonts w:cstheme="minorHAnsi"/>
              </w:rPr>
              <w:t>reading of an ordinance to adopt permanent regulations for temporary structures and uses</w:t>
            </w:r>
            <w:r w:rsidR="00CA1BA9">
              <w:rPr>
                <w:rFonts w:cstheme="minorHAnsi"/>
              </w:rPr>
              <w:t xml:space="preserve"> will be scheduled this fall, after the conclusion of the August legislative recess. </w:t>
            </w:r>
          </w:p>
        </w:tc>
      </w:tr>
    </w:tbl>
    <w:p w14:paraId="5F6CD7B6" w14:textId="77777777" w:rsidR="006D1310" w:rsidRDefault="006D1310" w:rsidP="007B2D33">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0050"/>
      </w:tblGrid>
      <w:tr w:rsidR="00EE71F2" w:rsidRPr="007C6996" w14:paraId="49C9699C" w14:textId="77777777" w:rsidTr="00C84C42">
        <w:tc>
          <w:tcPr>
            <w:tcW w:w="10050" w:type="dxa"/>
            <w:tcBorders>
              <w:top w:val="single" w:sz="4" w:space="0" w:color="auto"/>
              <w:left w:val="single" w:sz="4" w:space="0" w:color="auto"/>
              <w:bottom w:val="single" w:sz="4" w:space="0" w:color="auto"/>
              <w:right w:val="single" w:sz="4" w:space="0" w:color="auto"/>
            </w:tcBorders>
            <w:shd w:val="clear" w:color="auto" w:fill="0068B4"/>
          </w:tcPr>
          <w:p w14:paraId="0948D2BE" w14:textId="77777777" w:rsidR="00EE71F2" w:rsidRPr="007C6996" w:rsidRDefault="00AE5D24">
            <w:pPr>
              <w:rPr>
                <w:rFonts w:cstheme="minorHAnsi"/>
                <w:b/>
                <w:bCs/>
                <w:sz w:val="28"/>
                <w:szCs w:val="28"/>
              </w:rPr>
            </w:pPr>
            <w:r w:rsidRPr="00C84C42">
              <w:rPr>
                <w:rFonts w:cstheme="minorHAnsi"/>
                <w:b/>
                <w:bCs/>
                <w:color w:val="FFFFFF" w:themeColor="background1"/>
                <w:sz w:val="28"/>
                <w:szCs w:val="28"/>
              </w:rPr>
              <w:t>RECOMMEND</w:t>
            </w:r>
            <w:r w:rsidR="001711BC" w:rsidRPr="00C84C42">
              <w:rPr>
                <w:rFonts w:cstheme="minorHAnsi"/>
                <w:b/>
                <w:bCs/>
                <w:color w:val="FFFFFF" w:themeColor="background1"/>
                <w:sz w:val="28"/>
                <w:szCs w:val="28"/>
              </w:rPr>
              <w:t>ED ACTION</w:t>
            </w:r>
          </w:p>
        </w:tc>
      </w:tr>
      <w:tr w:rsidR="00EE71F2" w:rsidRPr="007C6996" w14:paraId="53AFF22E" w14:textId="77777777" w:rsidTr="00E01B76">
        <w:tc>
          <w:tcPr>
            <w:tcW w:w="10050" w:type="dxa"/>
            <w:tcBorders>
              <w:top w:val="single" w:sz="4" w:space="0" w:color="auto"/>
            </w:tcBorders>
            <w:vAlign w:val="center"/>
          </w:tcPr>
          <w:p w14:paraId="489E44BA" w14:textId="33EA2FD3" w:rsidR="009811E9" w:rsidRDefault="00E77398" w:rsidP="00EE6B15">
            <w:pPr>
              <w:spacing w:before="120"/>
              <w:rPr>
                <w:rFonts w:cstheme="minorHAnsi"/>
              </w:rPr>
            </w:pPr>
            <w:bookmarkStart w:id="4" w:name="APSF3" w:colFirst="0" w:colLast="0"/>
            <w:r>
              <w:rPr>
                <w:rFonts w:cstheme="minorHAnsi"/>
              </w:rPr>
              <w:t>Staff recommend the following motions.</w:t>
            </w:r>
            <w:r w:rsidR="00906A85">
              <w:rPr>
                <w:rFonts w:cstheme="minorHAnsi"/>
              </w:rPr>
              <w:t xml:space="preserve"> The secondary motions should be resolved before completing the Planning Commission recommendation by voting on the man motion.</w:t>
            </w:r>
          </w:p>
          <w:p w14:paraId="7DF1247F" w14:textId="77777777" w:rsidR="00E77398" w:rsidRDefault="00E77398" w:rsidP="00EE6B15">
            <w:pPr>
              <w:spacing w:before="120"/>
              <w:rPr>
                <w:rFonts w:cstheme="minorHAnsi"/>
              </w:rPr>
            </w:pPr>
            <w:r>
              <w:rPr>
                <w:rFonts w:cstheme="minorHAnsi"/>
                <w:b/>
                <w:bCs/>
              </w:rPr>
              <w:t xml:space="preserve">Main Motion: </w:t>
            </w:r>
            <w:r>
              <w:rPr>
                <w:rFonts w:cstheme="minorHAnsi"/>
              </w:rPr>
              <w:t>“Move to recommend that the City Council adopt the proposed amendments to MICC 19.06.050 – Commerce on public property as amended; proposed new section MICC 19.06.130 – Temporary use permits as amended; and proposed amendments to MICC 19.15.030 – Land use review types as amended.”</w:t>
            </w:r>
          </w:p>
          <w:p w14:paraId="127E5FAD" w14:textId="080A1C08" w:rsidR="00E77398" w:rsidRDefault="00E77398" w:rsidP="00E77398">
            <w:pPr>
              <w:spacing w:before="120"/>
              <w:ind w:left="720"/>
              <w:rPr>
                <w:rFonts w:cstheme="minorHAnsi"/>
              </w:rPr>
            </w:pPr>
            <w:r>
              <w:rPr>
                <w:rFonts w:cstheme="minorHAnsi"/>
                <w:b/>
                <w:bCs/>
              </w:rPr>
              <w:t xml:space="preserve">Note: </w:t>
            </w:r>
            <w:r w:rsidR="00436141">
              <w:rPr>
                <w:rFonts w:cstheme="minorHAnsi"/>
              </w:rPr>
              <w:t xml:space="preserve">this motion was made on June 10, </w:t>
            </w:r>
            <w:proofErr w:type="gramStart"/>
            <w:r w:rsidR="00436141">
              <w:rPr>
                <w:rFonts w:cstheme="minorHAnsi"/>
              </w:rPr>
              <w:t>2025</w:t>
            </w:r>
            <w:proofErr w:type="gramEnd"/>
            <w:r w:rsidR="00436141">
              <w:rPr>
                <w:rFonts w:cstheme="minorHAnsi"/>
              </w:rPr>
              <w:t xml:space="preserve"> and tabled for discussion on July 23, 2025. The Planning Commission can begin making amendments by motion as it sees fit. </w:t>
            </w:r>
          </w:p>
          <w:p w14:paraId="36039358" w14:textId="5E5F22E3" w:rsidR="00E77398" w:rsidRDefault="00634815" w:rsidP="00E77398">
            <w:pPr>
              <w:spacing w:before="120"/>
              <w:rPr>
                <w:rFonts w:cstheme="minorHAnsi"/>
              </w:rPr>
            </w:pPr>
            <w:r>
              <w:rPr>
                <w:rFonts w:cstheme="minorHAnsi"/>
                <w:b/>
                <w:bCs/>
              </w:rPr>
              <w:t xml:space="preserve">Secondary Motion – </w:t>
            </w:r>
            <w:r w:rsidR="009E764D">
              <w:rPr>
                <w:rFonts w:cstheme="minorHAnsi"/>
                <w:b/>
                <w:bCs/>
              </w:rPr>
              <w:t>Category A</w:t>
            </w:r>
            <w:r w:rsidR="00E77398">
              <w:rPr>
                <w:rFonts w:cstheme="minorHAnsi"/>
                <w:b/>
                <w:bCs/>
              </w:rPr>
              <w:t>:</w:t>
            </w:r>
            <w:r w:rsidR="00E77398">
              <w:rPr>
                <w:rFonts w:cstheme="minorHAnsi"/>
              </w:rPr>
              <w:t xml:space="preserve"> “Move to approve </w:t>
            </w:r>
            <w:r w:rsidR="00906A85">
              <w:rPr>
                <w:rFonts w:cstheme="minorHAnsi"/>
              </w:rPr>
              <w:t>the amendments listed under Category A as presented in PCB 25-13</w:t>
            </w:r>
            <w:r>
              <w:rPr>
                <w:rFonts w:cstheme="minorHAnsi"/>
              </w:rPr>
              <w:t>.”</w:t>
            </w:r>
          </w:p>
          <w:p w14:paraId="2C0837A0" w14:textId="74A1B1CB" w:rsidR="007146E5" w:rsidRDefault="007146E5" w:rsidP="007146E5">
            <w:pPr>
              <w:spacing w:before="120"/>
              <w:rPr>
                <w:rFonts w:cstheme="minorHAnsi"/>
              </w:rPr>
            </w:pPr>
            <w:r>
              <w:rPr>
                <w:rFonts w:cstheme="minorHAnsi"/>
                <w:b/>
                <w:bCs/>
              </w:rPr>
              <w:t xml:space="preserve">Secondary Motion – </w:t>
            </w:r>
            <w:r w:rsidR="00906A85">
              <w:rPr>
                <w:rFonts w:cstheme="minorHAnsi"/>
                <w:b/>
                <w:bCs/>
              </w:rPr>
              <w:t>Category B</w:t>
            </w:r>
            <w:r>
              <w:rPr>
                <w:rFonts w:cstheme="minorHAnsi"/>
                <w:b/>
                <w:bCs/>
              </w:rPr>
              <w:t>:</w:t>
            </w:r>
            <w:r>
              <w:rPr>
                <w:rFonts w:cstheme="minorHAnsi"/>
              </w:rPr>
              <w:t xml:space="preserve"> “Move to approve </w:t>
            </w:r>
            <w:r w:rsidR="000A0E69">
              <w:rPr>
                <w:rFonts w:cstheme="minorHAnsi"/>
              </w:rPr>
              <w:t>the amendments</w:t>
            </w:r>
            <w:r w:rsidR="00906A85">
              <w:rPr>
                <w:rFonts w:cstheme="minorHAnsi"/>
              </w:rPr>
              <w:t xml:space="preserve"> listed under Category B </w:t>
            </w:r>
            <w:r w:rsidR="005A31FA">
              <w:rPr>
                <w:rFonts w:cstheme="minorHAnsi"/>
              </w:rPr>
              <w:t>as presented</w:t>
            </w:r>
            <w:r w:rsidR="00906A85">
              <w:rPr>
                <w:rFonts w:cstheme="minorHAnsi"/>
              </w:rPr>
              <w:t xml:space="preserve"> in PCB 25-13</w:t>
            </w:r>
            <w:r w:rsidR="005A31FA">
              <w:rPr>
                <w:rFonts w:cstheme="minorHAnsi"/>
              </w:rPr>
              <w:t>.”</w:t>
            </w:r>
          </w:p>
          <w:p w14:paraId="4EE5746A" w14:textId="41C671DA" w:rsidR="005A31FA" w:rsidRPr="005A31FA" w:rsidRDefault="005A31FA" w:rsidP="00906A85">
            <w:pPr>
              <w:spacing w:before="120"/>
              <w:rPr>
                <w:rFonts w:cstheme="minorHAnsi"/>
              </w:rPr>
            </w:pPr>
          </w:p>
        </w:tc>
      </w:tr>
      <w:bookmarkEnd w:id="3"/>
      <w:bookmarkEnd w:id="4"/>
    </w:tbl>
    <w:p w14:paraId="1FEAA93A" w14:textId="77777777" w:rsidR="00EE71F2" w:rsidRPr="007C6996" w:rsidRDefault="00EE71F2" w:rsidP="0083514A">
      <w:pPr>
        <w:spacing w:after="0" w:line="240" w:lineRule="auto"/>
        <w:rPr>
          <w:rFonts w:cstheme="minorHAnsi"/>
          <w:b/>
          <w:bCs/>
        </w:rPr>
      </w:pPr>
    </w:p>
    <w:sectPr w:rsidR="00EE71F2" w:rsidRPr="007C6996" w:rsidSect="00603BA8">
      <w:headerReference w:type="even" r:id="rId16"/>
      <w:headerReference w:type="default" r:id="rId17"/>
      <w:footerReference w:type="even" r:id="rId18"/>
      <w:footerReference w:type="default" r:id="rId19"/>
      <w:headerReference w:type="first" r:id="rId20"/>
      <w:footerReference w:type="first" r:id="rId2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5A59A" w14:textId="77777777" w:rsidR="006F395E" w:rsidRDefault="006F395E" w:rsidP="003C24BA">
      <w:pPr>
        <w:spacing w:after="0" w:line="240" w:lineRule="auto"/>
      </w:pPr>
      <w:r>
        <w:separator/>
      </w:r>
    </w:p>
  </w:endnote>
  <w:endnote w:type="continuationSeparator" w:id="0">
    <w:p w14:paraId="4FB93F8F" w14:textId="77777777" w:rsidR="006F395E" w:rsidRDefault="006F395E" w:rsidP="003C2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0A1EE" w14:textId="77777777" w:rsidR="00E77398" w:rsidRDefault="00E77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FD657" w14:textId="77777777" w:rsidR="003C24BA" w:rsidRDefault="003C24BA" w:rsidP="003C24BA">
    <w:pPr>
      <w:pStyle w:val="Footer"/>
      <w:jc w:val="center"/>
    </w:pPr>
    <w:r>
      <w:t xml:space="preserve">Page </w:t>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1EEE5" w14:textId="77777777" w:rsidR="00E77398" w:rsidRDefault="00E77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35FF2" w14:textId="77777777" w:rsidR="006F395E" w:rsidRDefault="006F395E" w:rsidP="003C24BA">
      <w:pPr>
        <w:spacing w:after="0" w:line="240" w:lineRule="auto"/>
      </w:pPr>
      <w:r>
        <w:separator/>
      </w:r>
    </w:p>
  </w:footnote>
  <w:footnote w:type="continuationSeparator" w:id="0">
    <w:p w14:paraId="30E8308E" w14:textId="77777777" w:rsidR="006F395E" w:rsidRDefault="006F395E" w:rsidP="003C2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2758" w14:textId="77777777" w:rsidR="00E77398" w:rsidRDefault="00E773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13531" w14:textId="171AA69E" w:rsidR="00FC357B" w:rsidRDefault="00FC357B" w:rsidP="00FC357B">
    <w:pPr>
      <w:pStyle w:val="Header"/>
      <w:tabs>
        <w:tab w:val="clear" w:pos="4680"/>
        <w:tab w:val="clear" w:pos="9360"/>
        <w:tab w:val="left" w:pos="608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45E68" w14:textId="77777777" w:rsidR="00E77398" w:rsidRDefault="00E773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6D0B"/>
    <w:multiLevelType w:val="hybridMultilevel"/>
    <w:tmpl w:val="DF7899AA"/>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308C4"/>
    <w:multiLevelType w:val="hybridMultilevel"/>
    <w:tmpl w:val="04F22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1C96"/>
    <w:multiLevelType w:val="hybridMultilevel"/>
    <w:tmpl w:val="A112B5F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05665312"/>
    <w:multiLevelType w:val="hybridMultilevel"/>
    <w:tmpl w:val="4BB497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326B36"/>
    <w:multiLevelType w:val="hybridMultilevel"/>
    <w:tmpl w:val="682CC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D766D"/>
    <w:multiLevelType w:val="hybridMultilevel"/>
    <w:tmpl w:val="2E9A33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4A5E2D"/>
    <w:multiLevelType w:val="hybridMultilevel"/>
    <w:tmpl w:val="C3E23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9A46F4"/>
    <w:multiLevelType w:val="hybridMultilevel"/>
    <w:tmpl w:val="619E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96F19"/>
    <w:multiLevelType w:val="hybridMultilevel"/>
    <w:tmpl w:val="3232040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EF34E5"/>
    <w:multiLevelType w:val="hybridMultilevel"/>
    <w:tmpl w:val="D0C47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715B61"/>
    <w:multiLevelType w:val="hybridMultilevel"/>
    <w:tmpl w:val="DAD6F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E822D0"/>
    <w:multiLevelType w:val="hybridMultilevel"/>
    <w:tmpl w:val="564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65794D"/>
    <w:multiLevelType w:val="hybridMultilevel"/>
    <w:tmpl w:val="BDD41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59A5CBD"/>
    <w:multiLevelType w:val="hybridMultilevel"/>
    <w:tmpl w:val="10F01148"/>
    <w:lvl w:ilvl="0" w:tplc="70EA4220">
      <w:start w:val="1"/>
      <w:numFmt w:val="decimal"/>
      <w:lvlText w:val="A%1."/>
      <w:lvlJc w:val="left"/>
      <w:pPr>
        <w:ind w:left="21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337C24"/>
    <w:multiLevelType w:val="hybridMultilevel"/>
    <w:tmpl w:val="6A76C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840CFA"/>
    <w:multiLevelType w:val="hybridMultilevel"/>
    <w:tmpl w:val="43C6680E"/>
    <w:lvl w:ilvl="0" w:tplc="5CD4847E">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6" w15:restartNumberingAfterBreak="0">
    <w:nsid w:val="56C33933"/>
    <w:multiLevelType w:val="hybridMultilevel"/>
    <w:tmpl w:val="0F6856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A606758"/>
    <w:multiLevelType w:val="hybridMultilevel"/>
    <w:tmpl w:val="EF52AE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B476CB0"/>
    <w:multiLevelType w:val="hybridMultilevel"/>
    <w:tmpl w:val="D05CE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43539C"/>
    <w:multiLevelType w:val="hybridMultilevel"/>
    <w:tmpl w:val="AF944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86249C"/>
    <w:multiLevelType w:val="hybridMultilevel"/>
    <w:tmpl w:val="434A0242"/>
    <w:lvl w:ilvl="0" w:tplc="4728471C">
      <w:start w:val="1"/>
      <w:numFmt w:val="decimal"/>
      <w:lvlText w:val="B%1."/>
      <w:lvlJc w:val="lef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922662"/>
    <w:multiLevelType w:val="hybridMultilevel"/>
    <w:tmpl w:val="522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1E7269"/>
    <w:multiLevelType w:val="hybridMultilevel"/>
    <w:tmpl w:val="DD6E7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370850"/>
    <w:multiLevelType w:val="hybridMultilevel"/>
    <w:tmpl w:val="189A4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4547DB"/>
    <w:multiLevelType w:val="hybridMultilevel"/>
    <w:tmpl w:val="BE485DA2"/>
    <w:lvl w:ilvl="0" w:tplc="04090001">
      <w:start w:val="1"/>
      <w:numFmt w:val="bullet"/>
      <w:lvlText w:val=""/>
      <w:lvlJc w:val="left"/>
      <w:pPr>
        <w:ind w:left="690" w:hanging="360"/>
      </w:pPr>
      <w:rPr>
        <w:rFonts w:ascii="Symbol" w:hAnsi="Symbol" w:hint="default"/>
      </w:rPr>
    </w:lvl>
    <w:lvl w:ilvl="1" w:tplc="04090003">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25" w15:restartNumberingAfterBreak="0">
    <w:nsid w:val="7ECE0947"/>
    <w:multiLevelType w:val="hybridMultilevel"/>
    <w:tmpl w:val="329A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426A93"/>
    <w:multiLevelType w:val="hybridMultilevel"/>
    <w:tmpl w:val="97DC4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5547802">
    <w:abstractNumId w:val="6"/>
  </w:num>
  <w:num w:numId="2" w16cid:durableId="230966389">
    <w:abstractNumId w:val="2"/>
  </w:num>
  <w:num w:numId="3" w16cid:durableId="133454838">
    <w:abstractNumId w:val="9"/>
  </w:num>
  <w:num w:numId="4" w16cid:durableId="2110003080">
    <w:abstractNumId w:val="1"/>
  </w:num>
  <w:num w:numId="5" w16cid:durableId="1321545019">
    <w:abstractNumId w:val="25"/>
  </w:num>
  <w:num w:numId="6" w16cid:durableId="636837295">
    <w:abstractNumId w:val="11"/>
  </w:num>
  <w:num w:numId="7" w16cid:durableId="1886020843">
    <w:abstractNumId w:val="18"/>
  </w:num>
  <w:num w:numId="8" w16cid:durableId="918952016">
    <w:abstractNumId w:val="19"/>
  </w:num>
  <w:num w:numId="9" w16cid:durableId="225192093">
    <w:abstractNumId w:val="14"/>
  </w:num>
  <w:num w:numId="10" w16cid:durableId="676469058">
    <w:abstractNumId w:val="15"/>
  </w:num>
  <w:num w:numId="11" w16cid:durableId="987635426">
    <w:abstractNumId w:val="24"/>
  </w:num>
  <w:num w:numId="12" w16cid:durableId="194780017">
    <w:abstractNumId w:val="21"/>
  </w:num>
  <w:num w:numId="13" w16cid:durableId="991369573">
    <w:abstractNumId w:val="22"/>
  </w:num>
  <w:num w:numId="14" w16cid:durableId="370376099">
    <w:abstractNumId w:val="0"/>
  </w:num>
  <w:num w:numId="15" w16cid:durableId="2143113249">
    <w:abstractNumId w:val="17"/>
  </w:num>
  <w:num w:numId="16" w16cid:durableId="1758288165">
    <w:abstractNumId w:val="8"/>
  </w:num>
  <w:num w:numId="17" w16cid:durableId="1398893847">
    <w:abstractNumId w:val="16"/>
  </w:num>
  <w:num w:numId="18" w16cid:durableId="1346319750">
    <w:abstractNumId w:val="5"/>
  </w:num>
  <w:num w:numId="19" w16cid:durableId="615676610">
    <w:abstractNumId w:val="12"/>
  </w:num>
  <w:num w:numId="20" w16cid:durableId="1473402295">
    <w:abstractNumId w:val="3"/>
  </w:num>
  <w:num w:numId="21" w16cid:durableId="1766726421">
    <w:abstractNumId w:val="10"/>
  </w:num>
  <w:num w:numId="22" w16cid:durableId="1708870204">
    <w:abstractNumId w:val="7"/>
  </w:num>
  <w:num w:numId="23" w16cid:durableId="397023793">
    <w:abstractNumId w:val="4"/>
  </w:num>
  <w:num w:numId="24" w16cid:durableId="165555204">
    <w:abstractNumId w:val="13"/>
  </w:num>
  <w:num w:numId="25" w16cid:durableId="617371392">
    <w:abstractNumId w:val="20"/>
  </w:num>
  <w:num w:numId="26" w16cid:durableId="1136410824">
    <w:abstractNumId w:val="23"/>
  </w:num>
  <w:num w:numId="27" w16cid:durableId="5998771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c3MDGzMDIxMzc1MjVS0lEKTi0uzszPAykwqwUA9bxbHCwAAAA="/>
  </w:docVars>
  <w:rsids>
    <w:rsidRoot w:val="006E24C3"/>
    <w:rsid w:val="0000085C"/>
    <w:rsid w:val="00006E42"/>
    <w:rsid w:val="00010006"/>
    <w:rsid w:val="00010245"/>
    <w:rsid w:val="000141A9"/>
    <w:rsid w:val="00021585"/>
    <w:rsid w:val="00051739"/>
    <w:rsid w:val="00061A37"/>
    <w:rsid w:val="000667EA"/>
    <w:rsid w:val="00091AEC"/>
    <w:rsid w:val="00091C14"/>
    <w:rsid w:val="000952C8"/>
    <w:rsid w:val="00095CC1"/>
    <w:rsid w:val="000971BE"/>
    <w:rsid w:val="000A0E69"/>
    <w:rsid w:val="000A3D35"/>
    <w:rsid w:val="000A3E50"/>
    <w:rsid w:val="000B5D12"/>
    <w:rsid w:val="000C0F8B"/>
    <w:rsid w:val="000C39FB"/>
    <w:rsid w:val="000C3B90"/>
    <w:rsid w:val="000C540A"/>
    <w:rsid w:val="000C5BB6"/>
    <w:rsid w:val="000C6448"/>
    <w:rsid w:val="000C76CF"/>
    <w:rsid w:val="000D1934"/>
    <w:rsid w:val="000F4779"/>
    <w:rsid w:val="00107842"/>
    <w:rsid w:val="00110FAB"/>
    <w:rsid w:val="001126DB"/>
    <w:rsid w:val="00122D03"/>
    <w:rsid w:val="001259D4"/>
    <w:rsid w:val="00126666"/>
    <w:rsid w:val="0013089E"/>
    <w:rsid w:val="00131B50"/>
    <w:rsid w:val="001342EE"/>
    <w:rsid w:val="001343CC"/>
    <w:rsid w:val="001350D3"/>
    <w:rsid w:val="001422FD"/>
    <w:rsid w:val="00144204"/>
    <w:rsid w:val="001459FB"/>
    <w:rsid w:val="00160A78"/>
    <w:rsid w:val="00170850"/>
    <w:rsid w:val="001711BC"/>
    <w:rsid w:val="0018413E"/>
    <w:rsid w:val="0019155B"/>
    <w:rsid w:val="001A6A62"/>
    <w:rsid w:val="001B0D52"/>
    <w:rsid w:val="001C459F"/>
    <w:rsid w:val="001D3539"/>
    <w:rsid w:val="001D78F8"/>
    <w:rsid w:val="00202F09"/>
    <w:rsid w:val="00207D3A"/>
    <w:rsid w:val="002219C8"/>
    <w:rsid w:val="00230DE1"/>
    <w:rsid w:val="002321B8"/>
    <w:rsid w:val="00240FD5"/>
    <w:rsid w:val="0024537B"/>
    <w:rsid w:val="00252F7F"/>
    <w:rsid w:val="00256C93"/>
    <w:rsid w:val="0025760D"/>
    <w:rsid w:val="00263493"/>
    <w:rsid w:val="00265DE5"/>
    <w:rsid w:val="00273D4A"/>
    <w:rsid w:val="00274D51"/>
    <w:rsid w:val="00277A68"/>
    <w:rsid w:val="00295839"/>
    <w:rsid w:val="002A50D9"/>
    <w:rsid w:val="002A7F84"/>
    <w:rsid w:val="002B0759"/>
    <w:rsid w:val="002C267B"/>
    <w:rsid w:val="002C695B"/>
    <w:rsid w:val="002D2DCD"/>
    <w:rsid w:val="002D5758"/>
    <w:rsid w:val="002E11FD"/>
    <w:rsid w:val="002E2F3D"/>
    <w:rsid w:val="002E6F32"/>
    <w:rsid w:val="002F0E76"/>
    <w:rsid w:val="002F2EB8"/>
    <w:rsid w:val="0030431B"/>
    <w:rsid w:val="003061F2"/>
    <w:rsid w:val="00310A49"/>
    <w:rsid w:val="00317659"/>
    <w:rsid w:val="00322360"/>
    <w:rsid w:val="00326DF1"/>
    <w:rsid w:val="00327C30"/>
    <w:rsid w:val="00336AD1"/>
    <w:rsid w:val="003413A4"/>
    <w:rsid w:val="00344523"/>
    <w:rsid w:val="003449A3"/>
    <w:rsid w:val="0035486C"/>
    <w:rsid w:val="003554E4"/>
    <w:rsid w:val="00357863"/>
    <w:rsid w:val="00364EEF"/>
    <w:rsid w:val="0036785C"/>
    <w:rsid w:val="0037370C"/>
    <w:rsid w:val="00380522"/>
    <w:rsid w:val="0038542F"/>
    <w:rsid w:val="00394CA7"/>
    <w:rsid w:val="003A06BF"/>
    <w:rsid w:val="003A401E"/>
    <w:rsid w:val="003B04F5"/>
    <w:rsid w:val="003B0638"/>
    <w:rsid w:val="003B43DB"/>
    <w:rsid w:val="003B4605"/>
    <w:rsid w:val="003C24BA"/>
    <w:rsid w:val="003D6FEC"/>
    <w:rsid w:val="004105F0"/>
    <w:rsid w:val="00410775"/>
    <w:rsid w:val="004163A3"/>
    <w:rsid w:val="00431182"/>
    <w:rsid w:val="00431E5B"/>
    <w:rsid w:val="0043342D"/>
    <w:rsid w:val="0043538C"/>
    <w:rsid w:val="00436141"/>
    <w:rsid w:val="00440D15"/>
    <w:rsid w:val="00444D23"/>
    <w:rsid w:val="00450315"/>
    <w:rsid w:val="0045120B"/>
    <w:rsid w:val="00451360"/>
    <w:rsid w:val="00462A64"/>
    <w:rsid w:val="00467676"/>
    <w:rsid w:val="00472149"/>
    <w:rsid w:val="00486498"/>
    <w:rsid w:val="00490CD9"/>
    <w:rsid w:val="00492850"/>
    <w:rsid w:val="00497F66"/>
    <w:rsid w:val="004A311D"/>
    <w:rsid w:val="004A743B"/>
    <w:rsid w:val="004B1881"/>
    <w:rsid w:val="004D1ABA"/>
    <w:rsid w:val="004D33D9"/>
    <w:rsid w:val="004D580B"/>
    <w:rsid w:val="004D5E06"/>
    <w:rsid w:val="004E1D7E"/>
    <w:rsid w:val="004E4A58"/>
    <w:rsid w:val="004F2287"/>
    <w:rsid w:val="004F6789"/>
    <w:rsid w:val="005010C0"/>
    <w:rsid w:val="0050247B"/>
    <w:rsid w:val="0050522D"/>
    <w:rsid w:val="005056A6"/>
    <w:rsid w:val="00515605"/>
    <w:rsid w:val="00525879"/>
    <w:rsid w:val="005378A3"/>
    <w:rsid w:val="005474B8"/>
    <w:rsid w:val="0055051D"/>
    <w:rsid w:val="00562B77"/>
    <w:rsid w:val="00564DEE"/>
    <w:rsid w:val="005655C9"/>
    <w:rsid w:val="00573B92"/>
    <w:rsid w:val="00576BD4"/>
    <w:rsid w:val="005932D2"/>
    <w:rsid w:val="00596B46"/>
    <w:rsid w:val="005A31FA"/>
    <w:rsid w:val="005B3D78"/>
    <w:rsid w:val="005B52EC"/>
    <w:rsid w:val="005C01C8"/>
    <w:rsid w:val="005C5F4D"/>
    <w:rsid w:val="005D04A8"/>
    <w:rsid w:val="005D2D1A"/>
    <w:rsid w:val="005D7A88"/>
    <w:rsid w:val="005E7855"/>
    <w:rsid w:val="005F3CD7"/>
    <w:rsid w:val="005F7906"/>
    <w:rsid w:val="00603BA8"/>
    <w:rsid w:val="00604FAF"/>
    <w:rsid w:val="00607944"/>
    <w:rsid w:val="006129F8"/>
    <w:rsid w:val="00633421"/>
    <w:rsid w:val="00634766"/>
    <w:rsid w:val="00634815"/>
    <w:rsid w:val="006349E3"/>
    <w:rsid w:val="00634B74"/>
    <w:rsid w:val="00637A4E"/>
    <w:rsid w:val="0064321B"/>
    <w:rsid w:val="00643CF8"/>
    <w:rsid w:val="0066519F"/>
    <w:rsid w:val="00666A24"/>
    <w:rsid w:val="00670F19"/>
    <w:rsid w:val="00677F3E"/>
    <w:rsid w:val="00677FD2"/>
    <w:rsid w:val="00685A7F"/>
    <w:rsid w:val="00695C3C"/>
    <w:rsid w:val="006A558F"/>
    <w:rsid w:val="006A7E16"/>
    <w:rsid w:val="006B0F4D"/>
    <w:rsid w:val="006B79FE"/>
    <w:rsid w:val="006C6913"/>
    <w:rsid w:val="006D1310"/>
    <w:rsid w:val="006E111D"/>
    <w:rsid w:val="006E24C3"/>
    <w:rsid w:val="006E3483"/>
    <w:rsid w:val="006E36D7"/>
    <w:rsid w:val="006F2132"/>
    <w:rsid w:val="006F32F4"/>
    <w:rsid w:val="006F395E"/>
    <w:rsid w:val="00706417"/>
    <w:rsid w:val="00706C55"/>
    <w:rsid w:val="007134C1"/>
    <w:rsid w:val="007146E5"/>
    <w:rsid w:val="0071484E"/>
    <w:rsid w:val="00715CBE"/>
    <w:rsid w:val="007168F5"/>
    <w:rsid w:val="00720D3F"/>
    <w:rsid w:val="0072742B"/>
    <w:rsid w:val="00736D4E"/>
    <w:rsid w:val="00740461"/>
    <w:rsid w:val="00746096"/>
    <w:rsid w:val="00746FE3"/>
    <w:rsid w:val="00747988"/>
    <w:rsid w:val="00762F88"/>
    <w:rsid w:val="00763C15"/>
    <w:rsid w:val="007709DA"/>
    <w:rsid w:val="00782D1A"/>
    <w:rsid w:val="007839A5"/>
    <w:rsid w:val="007953AE"/>
    <w:rsid w:val="007A463E"/>
    <w:rsid w:val="007B03DC"/>
    <w:rsid w:val="007B2D33"/>
    <w:rsid w:val="007B484F"/>
    <w:rsid w:val="007B780A"/>
    <w:rsid w:val="007C6996"/>
    <w:rsid w:val="007D41C0"/>
    <w:rsid w:val="007E0C11"/>
    <w:rsid w:val="007F2799"/>
    <w:rsid w:val="007F5145"/>
    <w:rsid w:val="00802DA2"/>
    <w:rsid w:val="00804100"/>
    <w:rsid w:val="008074CF"/>
    <w:rsid w:val="00810E0B"/>
    <w:rsid w:val="008113BD"/>
    <w:rsid w:val="00820CA5"/>
    <w:rsid w:val="008212CA"/>
    <w:rsid w:val="008260E3"/>
    <w:rsid w:val="0083514A"/>
    <w:rsid w:val="008366FD"/>
    <w:rsid w:val="00837A48"/>
    <w:rsid w:val="00847F4A"/>
    <w:rsid w:val="0085065C"/>
    <w:rsid w:val="008508D6"/>
    <w:rsid w:val="00851816"/>
    <w:rsid w:val="00851904"/>
    <w:rsid w:val="00860B6F"/>
    <w:rsid w:val="008719FF"/>
    <w:rsid w:val="00871D2D"/>
    <w:rsid w:val="00884235"/>
    <w:rsid w:val="00884585"/>
    <w:rsid w:val="008870A4"/>
    <w:rsid w:val="008873E7"/>
    <w:rsid w:val="008A361B"/>
    <w:rsid w:val="008A41F2"/>
    <w:rsid w:val="008A72DD"/>
    <w:rsid w:val="008A74CE"/>
    <w:rsid w:val="008C5894"/>
    <w:rsid w:val="008C7343"/>
    <w:rsid w:val="008D284D"/>
    <w:rsid w:val="008D3B68"/>
    <w:rsid w:val="008D490A"/>
    <w:rsid w:val="008E501E"/>
    <w:rsid w:val="008E6D65"/>
    <w:rsid w:val="008E7FE2"/>
    <w:rsid w:val="008F0B7A"/>
    <w:rsid w:val="00903AF6"/>
    <w:rsid w:val="00906A85"/>
    <w:rsid w:val="009142C8"/>
    <w:rsid w:val="00914328"/>
    <w:rsid w:val="00921B51"/>
    <w:rsid w:val="009227A4"/>
    <w:rsid w:val="00924B39"/>
    <w:rsid w:val="009318C1"/>
    <w:rsid w:val="00945421"/>
    <w:rsid w:val="00945FB3"/>
    <w:rsid w:val="00947D88"/>
    <w:rsid w:val="009579CE"/>
    <w:rsid w:val="009623AD"/>
    <w:rsid w:val="00963C5E"/>
    <w:rsid w:val="00971F81"/>
    <w:rsid w:val="00973B94"/>
    <w:rsid w:val="00974A08"/>
    <w:rsid w:val="009811E9"/>
    <w:rsid w:val="0098178F"/>
    <w:rsid w:val="00986D5D"/>
    <w:rsid w:val="00997298"/>
    <w:rsid w:val="009B1353"/>
    <w:rsid w:val="009B22F5"/>
    <w:rsid w:val="009C5523"/>
    <w:rsid w:val="009D0CC9"/>
    <w:rsid w:val="009D7981"/>
    <w:rsid w:val="009E05B0"/>
    <w:rsid w:val="009E2927"/>
    <w:rsid w:val="009E764D"/>
    <w:rsid w:val="009F16DB"/>
    <w:rsid w:val="009F197F"/>
    <w:rsid w:val="00A01813"/>
    <w:rsid w:val="00A01DCA"/>
    <w:rsid w:val="00A07D87"/>
    <w:rsid w:val="00A15637"/>
    <w:rsid w:val="00A2223A"/>
    <w:rsid w:val="00A41E72"/>
    <w:rsid w:val="00A457AE"/>
    <w:rsid w:val="00A45C42"/>
    <w:rsid w:val="00A46061"/>
    <w:rsid w:val="00A4690B"/>
    <w:rsid w:val="00A46EB2"/>
    <w:rsid w:val="00A54FEA"/>
    <w:rsid w:val="00A6062E"/>
    <w:rsid w:val="00A60D67"/>
    <w:rsid w:val="00A67E60"/>
    <w:rsid w:val="00A76510"/>
    <w:rsid w:val="00A8100C"/>
    <w:rsid w:val="00A87A82"/>
    <w:rsid w:val="00A9268C"/>
    <w:rsid w:val="00AA49CE"/>
    <w:rsid w:val="00AA59E6"/>
    <w:rsid w:val="00AB2FB3"/>
    <w:rsid w:val="00AC24F4"/>
    <w:rsid w:val="00AC292E"/>
    <w:rsid w:val="00AD11FB"/>
    <w:rsid w:val="00AD208F"/>
    <w:rsid w:val="00AD6108"/>
    <w:rsid w:val="00AE5D24"/>
    <w:rsid w:val="00AF2B9D"/>
    <w:rsid w:val="00B014F1"/>
    <w:rsid w:val="00B06BA9"/>
    <w:rsid w:val="00B106F5"/>
    <w:rsid w:val="00B11070"/>
    <w:rsid w:val="00B11706"/>
    <w:rsid w:val="00B24F4F"/>
    <w:rsid w:val="00B46CD8"/>
    <w:rsid w:val="00B474F5"/>
    <w:rsid w:val="00B51983"/>
    <w:rsid w:val="00B55148"/>
    <w:rsid w:val="00B5634C"/>
    <w:rsid w:val="00B57F00"/>
    <w:rsid w:val="00B62274"/>
    <w:rsid w:val="00B63E67"/>
    <w:rsid w:val="00B9223A"/>
    <w:rsid w:val="00BB0822"/>
    <w:rsid w:val="00BB343F"/>
    <w:rsid w:val="00BC14CB"/>
    <w:rsid w:val="00BC2377"/>
    <w:rsid w:val="00BC44A2"/>
    <w:rsid w:val="00BC4D3C"/>
    <w:rsid w:val="00BC586D"/>
    <w:rsid w:val="00BC706C"/>
    <w:rsid w:val="00BD0FC5"/>
    <w:rsid w:val="00BD62F1"/>
    <w:rsid w:val="00BE37A6"/>
    <w:rsid w:val="00BE41D2"/>
    <w:rsid w:val="00BF4D32"/>
    <w:rsid w:val="00BF658D"/>
    <w:rsid w:val="00C026D4"/>
    <w:rsid w:val="00C15A43"/>
    <w:rsid w:val="00C45DA4"/>
    <w:rsid w:val="00C54060"/>
    <w:rsid w:val="00C5440E"/>
    <w:rsid w:val="00C671F4"/>
    <w:rsid w:val="00C83BC9"/>
    <w:rsid w:val="00C84C42"/>
    <w:rsid w:val="00C94723"/>
    <w:rsid w:val="00C95F95"/>
    <w:rsid w:val="00C97A31"/>
    <w:rsid w:val="00CA1BA9"/>
    <w:rsid w:val="00CA79E7"/>
    <w:rsid w:val="00CB1E48"/>
    <w:rsid w:val="00CB285D"/>
    <w:rsid w:val="00CB2D8F"/>
    <w:rsid w:val="00CB637E"/>
    <w:rsid w:val="00CB7317"/>
    <w:rsid w:val="00CC26CA"/>
    <w:rsid w:val="00CD5F69"/>
    <w:rsid w:val="00CE1DB7"/>
    <w:rsid w:val="00CE6D80"/>
    <w:rsid w:val="00CE7354"/>
    <w:rsid w:val="00CF734E"/>
    <w:rsid w:val="00D03F7A"/>
    <w:rsid w:val="00D104F0"/>
    <w:rsid w:val="00D10F68"/>
    <w:rsid w:val="00D1346A"/>
    <w:rsid w:val="00D37C8C"/>
    <w:rsid w:val="00D40EBE"/>
    <w:rsid w:val="00D42C44"/>
    <w:rsid w:val="00D42C58"/>
    <w:rsid w:val="00D43CEC"/>
    <w:rsid w:val="00D53EAD"/>
    <w:rsid w:val="00D61AAF"/>
    <w:rsid w:val="00D66440"/>
    <w:rsid w:val="00D705BB"/>
    <w:rsid w:val="00D71A6C"/>
    <w:rsid w:val="00D72988"/>
    <w:rsid w:val="00D80889"/>
    <w:rsid w:val="00DA3AD3"/>
    <w:rsid w:val="00DB101D"/>
    <w:rsid w:val="00DB45E0"/>
    <w:rsid w:val="00DD5E25"/>
    <w:rsid w:val="00DD62E6"/>
    <w:rsid w:val="00DD7545"/>
    <w:rsid w:val="00DE0482"/>
    <w:rsid w:val="00DE5191"/>
    <w:rsid w:val="00DE6939"/>
    <w:rsid w:val="00DF2211"/>
    <w:rsid w:val="00DF3016"/>
    <w:rsid w:val="00E01B76"/>
    <w:rsid w:val="00E03213"/>
    <w:rsid w:val="00E04402"/>
    <w:rsid w:val="00E06212"/>
    <w:rsid w:val="00E07027"/>
    <w:rsid w:val="00E07030"/>
    <w:rsid w:val="00E1099D"/>
    <w:rsid w:val="00E124EF"/>
    <w:rsid w:val="00E12D9B"/>
    <w:rsid w:val="00E1525C"/>
    <w:rsid w:val="00E212CC"/>
    <w:rsid w:val="00E31A3A"/>
    <w:rsid w:val="00E413E4"/>
    <w:rsid w:val="00E530B3"/>
    <w:rsid w:val="00E65EDB"/>
    <w:rsid w:val="00E67C11"/>
    <w:rsid w:val="00E73960"/>
    <w:rsid w:val="00E77398"/>
    <w:rsid w:val="00E80387"/>
    <w:rsid w:val="00E91ED8"/>
    <w:rsid w:val="00E94124"/>
    <w:rsid w:val="00EB4796"/>
    <w:rsid w:val="00EB5674"/>
    <w:rsid w:val="00EC7057"/>
    <w:rsid w:val="00ED2C29"/>
    <w:rsid w:val="00ED6225"/>
    <w:rsid w:val="00EE302E"/>
    <w:rsid w:val="00EE32FF"/>
    <w:rsid w:val="00EE6B15"/>
    <w:rsid w:val="00EE71F2"/>
    <w:rsid w:val="00EF0A6E"/>
    <w:rsid w:val="00EF2D17"/>
    <w:rsid w:val="00F00A21"/>
    <w:rsid w:val="00F01A27"/>
    <w:rsid w:val="00F0250A"/>
    <w:rsid w:val="00F06A25"/>
    <w:rsid w:val="00F11063"/>
    <w:rsid w:val="00F17EB6"/>
    <w:rsid w:val="00F2481B"/>
    <w:rsid w:val="00F25711"/>
    <w:rsid w:val="00F33DA9"/>
    <w:rsid w:val="00F513FE"/>
    <w:rsid w:val="00F54AE9"/>
    <w:rsid w:val="00F6482E"/>
    <w:rsid w:val="00F6662A"/>
    <w:rsid w:val="00F71CA9"/>
    <w:rsid w:val="00F72CFB"/>
    <w:rsid w:val="00F768C6"/>
    <w:rsid w:val="00F80280"/>
    <w:rsid w:val="00F84B3B"/>
    <w:rsid w:val="00F95386"/>
    <w:rsid w:val="00FA4D5E"/>
    <w:rsid w:val="00FA6515"/>
    <w:rsid w:val="00FA72C0"/>
    <w:rsid w:val="00FB33A4"/>
    <w:rsid w:val="00FC20E2"/>
    <w:rsid w:val="00FC27A9"/>
    <w:rsid w:val="00FC357B"/>
    <w:rsid w:val="00FC5DF1"/>
    <w:rsid w:val="00FC6358"/>
    <w:rsid w:val="00FD2AF8"/>
    <w:rsid w:val="00FD31DB"/>
    <w:rsid w:val="00FD4423"/>
    <w:rsid w:val="00FD7AFA"/>
    <w:rsid w:val="00FE6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E228D"/>
  <w15:chartTrackingRefBased/>
  <w15:docId w15:val="{BCF68C0A-5F08-46A4-9736-B7259256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51D"/>
  </w:style>
  <w:style w:type="paragraph" w:styleId="Heading1">
    <w:name w:val="heading 1"/>
    <w:basedOn w:val="Normal"/>
    <w:next w:val="Normal"/>
    <w:link w:val="Heading1Char"/>
    <w:uiPriority w:val="9"/>
    <w:qFormat/>
    <w:rsid w:val="001B0D52"/>
    <w:pPr>
      <w:keepNext/>
      <w:keepLines/>
      <w:spacing w:after="120"/>
      <w:outlineLvl w:val="0"/>
    </w:pPr>
    <w:rPr>
      <w:rFonts w:eastAsiaTheme="majorEastAsia" w:cstheme="majorBidi"/>
      <w:b/>
      <w:caps/>
      <w:sz w:val="26"/>
      <w:szCs w:val="32"/>
    </w:rPr>
  </w:style>
  <w:style w:type="paragraph" w:styleId="Heading2">
    <w:name w:val="heading 2"/>
    <w:basedOn w:val="Normal"/>
    <w:next w:val="Normal"/>
    <w:link w:val="Heading2Char"/>
    <w:uiPriority w:val="9"/>
    <w:semiHidden/>
    <w:unhideWhenUsed/>
    <w:qFormat/>
    <w:rsid w:val="001B0D52"/>
    <w:pPr>
      <w:keepNext/>
      <w:keepLines/>
      <w:spacing w:after="120"/>
      <w:outlineLvl w:val="1"/>
    </w:pPr>
    <w:rPr>
      <w:rFonts w:eastAsiaTheme="majorEastAsia" w:cstheme="majorBidi"/>
      <w:i/>
      <w:sz w:val="25"/>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20CA5"/>
    <w:rPr>
      <w:color w:val="808080"/>
    </w:rPr>
  </w:style>
  <w:style w:type="paragraph" w:styleId="ListParagraph">
    <w:name w:val="List Paragraph"/>
    <w:basedOn w:val="Normal"/>
    <w:uiPriority w:val="34"/>
    <w:qFormat/>
    <w:rsid w:val="00903AF6"/>
    <w:pPr>
      <w:ind w:left="720"/>
      <w:contextualSpacing/>
    </w:pPr>
  </w:style>
  <w:style w:type="character" w:customStyle="1" w:styleId="Heading1Char">
    <w:name w:val="Heading 1 Char"/>
    <w:basedOn w:val="DefaultParagraphFont"/>
    <w:link w:val="Heading1"/>
    <w:uiPriority w:val="9"/>
    <w:rsid w:val="001B0D52"/>
    <w:rPr>
      <w:rFonts w:eastAsiaTheme="majorEastAsia" w:cstheme="majorBidi"/>
      <w:b/>
      <w:caps/>
      <w:sz w:val="26"/>
      <w:szCs w:val="32"/>
    </w:rPr>
  </w:style>
  <w:style w:type="character" w:customStyle="1" w:styleId="Heading2Char">
    <w:name w:val="Heading 2 Char"/>
    <w:basedOn w:val="DefaultParagraphFont"/>
    <w:link w:val="Heading2"/>
    <w:uiPriority w:val="9"/>
    <w:semiHidden/>
    <w:rsid w:val="001B0D52"/>
    <w:rPr>
      <w:rFonts w:eastAsiaTheme="majorEastAsia" w:cstheme="majorBidi"/>
      <w:i/>
      <w:sz w:val="25"/>
      <w:szCs w:val="26"/>
      <w:u w:val="single"/>
    </w:rPr>
  </w:style>
  <w:style w:type="paragraph" w:styleId="Header">
    <w:name w:val="header"/>
    <w:basedOn w:val="Normal"/>
    <w:link w:val="HeaderChar"/>
    <w:uiPriority w:val="99"/>
    <w:unhideWhenUsed/>
    <w:rsid w:val="003C2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4BA"/>
  </w:style>
  <w:style w:type="paragraph" w:styleId="Footer">
    <w:name w:val="footer"/>
    <w:basedOn w:val="Normal"/>
    <w:link w:val="FooterChar"/>
    <w:uiPriority w:val="99"/>
    <w:unhideWhenUsed/>
    <w:rsid w:val="003C2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4BA"/>
  </w:style>
  <w:style w:type="character" w:styleId="Hyperlink">
    <w:name w:val="Hyperlink"/>
    <w:basedOn w:val="DefaultParagraphFont"/>
    <w:uiPriority w:val="99"/>
    <w:unhideWhenUsed/>
    <w:rsid w:val="003D6FEC"/>
    <w:rPr>
      <w:color w:val="0563C1" w:themeColor="hyperlink"/>
      <w:u w:val="single"/>
    </w:rPr>
  </w:style>
  <w:style w:type="character" w:styleId="UnresolvedMention">
    <w:name w:val="Unresolved Mention"/>
    <w:basedOn w:val="DefaultParagraphFont"/>
    <w:uiPriority w:val="99"/>
    <w:semiHidden/>
    <w:unhideWhenUsed/>
    <w:rsid w:val="003D6FEC"/>
    <w:rPr>
      <w:color w:val="605E5C"/>
      <w:shd w:val="clear" w:color="auto" w:fill="E1DFDD"/>
    </w:rPr>
  </w:style>
  <w:style w:type="paragraph" w:styleId="Revision">
    <w:name w:val="Revision"/>
    <w:hidden/>
    <w:uiPriority w:val="99"/>
    <w:semiHidden/>
    <w:rsid w:val="00472149"/>
    <w:pPr>
      <w:spacing w:after="0" w:line="240" w:lineRule="auto"/>
    </w:pPr>
  </w:style>
  <w:style w:type="character" w:styleId="CommentReference">
    <w:name w:val="annotation reference"/>
    <w:basedOn w:val="DefaultParagraphFont"/>
    <w:uiPriority w:val="99"/>
    <w:semiHidden/>
    <w:unhideWhenUsed/>
    <w:rsid w:val="00472149"/>
    <w:rPr>
      <w:sz w:val="16"/>
      <w:szCs w:val="16"/>
    </w:rPr>
  </w:style>
  <w:style w:type="paragraph" w:styleId="CommentText">
    <w:name w:val="annotation text"/>
    <w:basedOn w:val="Normal"/>
    <w:link w:val="CommentTextChar"/>
    <w:uiPriority w:val="99"/>
    <w:unhideWhenUsed/>
    <w:rsid w:val="00472149"/>
    <w:pPr>
      <w:spacing w:line="240" w:lineRule="auto"/>
    </w:pPr>
    <w:rPr>
      <w:sz w:val="20"/>
      <w:szCs w:val="20"/>
    </w:rPr>
  </w:style>
  <w:style w:type="character" w:customStyle="1" w:styleId="CommentTextChar">
    <w:name w:val="Comment Text Char"/>
    <w:basedOn w:val="DefaultParagraphFont"/>
    <w:link w:val="CommentText"/>
    <w:uiPriority w:val="99"/>
    <w:rsid w:val="00472149"/>
    <w:rPr>
      <w:sz w:val="20"/>
      <w:szCs w:val="20"/>
    </w:rPr>
  </w:style>
  <w:style w:type="paragraph" w:styleId="CommentSubject">
    <w:name w:val="annotation subject"/>
    <w:basedOn w:val="CommentText"/>
    <w:next w:val="CommentText"/>
    <w:link w:val="CommentSubjectChar"/>
    <w:uiPriority w:val="99"/>
    <w:semiHidden/>
    <w:unhideWhenUsed/>
    <w:rsid w:val="00472149"/>
    <w:rPr>
      <w:b/>
      <w:bCs/>
    </w:rPr>
  </w:style>
  <w:style w:type="character" w:customStyle="1" w:styleId="CommentSubjectChar">
    <w:name w:val="Comment Subject Char"/>
    <w:basedOn w:val="CommentTextChar"/>
    <w:link w:val="CommentSubject"/>
    <w:uiPriority w:val="99"/>
    <w:semiHidden/>
    <w:rsid w:val="00472149"/>
    <w:rPr>
      <w:b/>
      <w:bCs/>
      <w:sz w:val="20"/>
      <w:szCs w:val="20"/>
    </w:rPr>
  </w:style>
  <w:style w:type="character" w:styleId="FollowedHyperlink">
    <w:name w:val="FollowedHyperlink"/>
    <w:basedOn w:val="DefaultParagraphFont"/>
    <w:uiPriority w:val="99"/>
    <w:semiHidden/>
    <w:unhideWhenUsed/>
    <w:rsid w:val="00E070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077030">
      <w:bodyDiv w:val="1"/>
      <w:marLeft w:val="0"/>
      <w:marRight w:val="0"/>
      <w:marTop w:val="0"/>
      <w:marBottom w:val="0"/>
      <w:divBdr>
        <w:top w:val="none" w:sz="0" w:space="0" w:color="auto"/>
        <w:left w:val="none" w:sz="0" w:space="0" w:color="auto"/>
        <w:bottom w:val="none" w:sz="0" w:space="0" w:color="auto"/>
        <w:right w:val="none" w:sz="0" w:space="0" w:color="auto"/>
      </w:divBdr>
    </w:div>
    <w:div w:id="159207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brary.municode.com/wa/mercer_island/munidocs/munidocs?nodeId=65f59b72062a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mccmeetingspublic.blob.core.usgovcloudapi.net/mercerwa-meet-dede759caf2a4d3a85186b264219b321/ITEM-Attachment-001-00c805ade21a48cbb0fcec15ebf755c3.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ry.municode.com/wa/mercer_island/munidocs/munidocs?nodeId=65f59b72062a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ccmeetingspublic.blob.core.usgovcloudapi.net/mercerwa-meet-dede759caf2a4d3a85186b264219b321/ITEM-Attachment-001-00c805ade21a48cbb0fcec15ebf755c3.pdf" TargetMode="External"/><Relationship Id="rId23" Type="http://schemas.openxmlformats.org/officeDocument/2006/relationships/glossaryDocument" Target="glossary/document.xml"/><Relationship Id="rId10" Type="http://schemas.openxmlformats.org/officeDocument/2006/relationships/hyperlink" Target="https://library.municode.com/wa/mercer_island/munidocs/munidocs?nodeId=8012f1a64953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ibrary.municode.com/wa/mercer_island/munidocs/munidocs?nodeId=6ee52816f00b4" TargetMode="External"/><Relationship Id="rId14" Type="http://schemas.openxmlformats.org/officeDocument/2006/relationships/hyperlink" Target="https://mccmeetings.blob.core.usgovcloudapi.net/mercerwa-pubu/MEET-Packet-8636f3c1223a46c0b538eb84a60da37c.pdf"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AF06BBA10D44FE806CD61E9D4E4B34"/>
        <w:category>
          <w:name w:val="General"/>
          <w:gallery w:val="placeholder"/>
        </w:category>
        <w:types>
          <w:type w:val="bbPlcHdr"/>
        </w:types>
        <w:behaviors>
          <w:behavior w:val="content"/>
        </w:behaviors>
        <w:guid w:val="{7ABF184E-A2F5-4842-BF91-B185D83743E7}"/>
      </w:docPartPr>
      <w:docPartBody>
        <w:p w:rsidR="000453E6" w:rsidRDefault="000453E6">
          <w:pPr>
            <w:pStyle w:val="EEAF06BBA10D44FE806CD61E9D4E4B34"/>
          </w:pPr>
          <w:r w:rsidRPr="00851816">
            <w:rPr>
              <w:rStyle w:val="PlaceholderText"/>
            </w:rPr>
            <w:t>Click or tap to enter a date.</w:t>
          </w:r>
        </w:p>
      </w:docPartBody>
    </w:docPart>
    <w:docPart>
      <w:docPartPr>
        <w:name w:val="C07CAA575D544B5A8360D2C33643B358"/>
        <w:category>
          <w:name w:val="General"/>
          <w:gallery w:val="placeholder"/>
        </w:category>
        <w:types>
          <w:type w:val="bbPlcHdr"/>
        </w:types>
        <w:behaviors>
          <w:behavior w:val="content"/>
        </w:behaviors>
        <w:guid w:val="{8F93EF34-57BC-4A75-B429-24D0FC358852}"/>
      </w:docPartPr>
      <w:docPartBody>
        <w:p w:rsidR="000453E6" w:rsidRDefault="000453E6">
          <w:pPr>
            <w:pStyle w:val="C07CAA575D544B5A8360D2C33643B358"/>
          </w:pPr>
          <w:r w:rsidRPr="001312D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E6"/>
    <w:rsid w:val="000453E6"/>
    <w:rsid w:val="00091AEC"/>
    <w:rsid w:val="000971BE"/>
    <w:rsid w:val="000C3B90"/>
    <w:rsid w:val="000C540A"/>
    <w:rsid w:val="001343CC"/>
    <w:rsid w:val="001350D3"/>
    <w:rsid w:val="00170850"/>
    <w:rsid w:val="0018413E"/>
    <w:rsid w:val="001C459F"/>
    <w:rsid w:val="00207D3A"/>
    <w:rsid w:val="00263493"/>
    <w:rsid w:val="00295839"/>
    <w:rsid w:val="002C267B"/>
    <w:rsid w:val="003449A3"/>
    <w:rsid w:val="003B4605"/>
    <w:rsid w:val="0043538C"/>
    <w:rsid w:val="00440D15"/>
    <w:rsid w:val="00497F66"/>
    <w:rsid w:val="004E1D7E"/>
    <w:rsid w:val="004E34B9"/>
    <w:rsid w:val="00515605"/>
    <w:rsid w:val="005F3CD7"/>
    <w:rsid w:val="00626B91"/>
    <w:rsid w:val="00736D4E"/>
    <w:rsid w:val="00746096"/>
    <w:rsid w:val="00762F88"/>
    <w:rsid w:val="007A463E"/>
    <w:rsid w:val="007F5145"/>
    <w:rsid w:val="00804100"/>
    <w:rsid w:val="008113BD"/>
    <w:rsid w:val="008260E3"/>
    <w:rsid w:val="00847F4A"/>
    <w:rsid w:val="008508D6"/>
    <w:rsid w:val="008D490A"/>
    <w:rsid w:val="008E7FE2"/>
    <w:rsid w:val="009142C8"/>
    <w:rsid w:val="00945FB3"/>
    <w:rsid w:val="009579CE"/>
    <w:rsid w:val="00974A08"/>
    <w:rsid w:val="009B22F5"/>
    <w:rsid w:val="00A07D87"/>
    <w:rsid w:val="00A4690B"/>
    <w:rsid w:val="00A76510"/>
    <w:rsid w:val="00A87A82"/>
    <w:rsid w:val="00A9268C"/>
    <w:rsid w:val="00B55148"/>
    <w:rsid w:val="00BD62F1"/>
    <w:rsid w:val="00C5440E"/>
    <w:rsid w:val="00C671F4"/>
    <w:rsid w:val="00CB285D"/>
    <w:rsid w:val="00CB2D8F"/>
    <w:rsid w:val="00CD5F69"/>
    <w:rsid w:val="00D72988"/>
    <w:rsid w:val="00DE29D9"/>
    <w:rsid w:val="00E12D9B"/>
    <w:rsid w:val="00ED2C29"/>
    <w:rsid w:val="00EF1A46"/>
    <w:rsid w:val="00F25711"/>
    <w:rsid w:val="00F33DA9"/>
    <w:rsid w:val="00FC27A9"/>
    <w:rsid w:val="00FC6358"/>
    <w:rsid w:val="00FD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EAF06BBA10D44FE806CD61E9D4E4B34">
    <w:name w:val="EEAF06BBA10D44FE806CD61E9D4E4B34"/>
  </w:style>
  <w:style w:type="paragraph" w:customStyle="1" w:styleId="C07CAA575D544B5A8360D2C33643B358">
    <w:name w:val="C07CAA575D544B5A8360D2C33643B3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D90F0-9C58-4739-AFA7-6901244AD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2820</TotalTime>
  <Pages>5</Pages>
  <Words>2512</Words>
  <Characters>14325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Municipal Code Corporation</Company>
  <LinksUpToDate>false</LinksUpToDate>
  <CharactersWithSpaces>16804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destrada</dc:creator>
  <cp:keywords/>
  <dc:description/>
  <cp:lastModifiedBy>Deb Estrada</cp:lastModifiedBy>
  <cp:revision>7</cp:revision>
  <cp:lastPrinted>2019-09-04T23:26:00Z</cp:lastPrinted>
  <dcterms:created xsi:type="dcterms:W3CDTF">2024-01-30T17:31:00Z</dcterms:created>
  <dcterms:modified xsi:type="dcterms:W3CDTF">2025-07-16T23:27:00Z</dcterms:modified>
</cp:coreProperties>
</file>