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C553" w14:textId="77777777" w:rsidR="00210006" w:rsidRDefault="00210006">
      <w:pPr>
        <w:pStyle w:val="BodyText"/>
        <w:spacing w:before="9"/>
        <w:rPr>
          <w:rFonts w:ascii="Times New Roman"/>
          <w:sz w:val="18"/>
        </w:rPr>
      </w:pPr>
    </w:p>
    <w:p w14:paraId="012FCDA9" w14:textId="77777777" w:rsidR="00210006" w:rsidRDefault="00210006">
      <w:pPr>
        <w:rPr>
          <w:rFonts w:ascii="Times New Roman"/>
          <w:sz w:val="18"/>
        </w:rPr>
        <w:sectPr w:rsidR="00210006">
          <w:headerReference w:type="default" r:id="rId7"/>
          <w:footerReference w:type="default" r:id="rId8"/>
          <w:type w:val="continuous"/>
          <w:pgSz w:w="12240" w:h="15840"/>
          <w:pgMar w:top="380" w:right="1020" w:bottom="920" w:left="1020" w:header="0" w:footer="740" w:gutter="0"/>
          <w:cols w:space="720"/>
        </w:sectPr>
      </w:pPr>
    </w:p>
    <w:p w14:paraId="21F16AF8" w14:textId="77777777" w:rsidR="00210006" w:rsidRDefault="00210006">
      <w:pPr>
        <w:pStyle w:val="BodyText"/>
        <w:rPr>
          <w:rFonts w:ascii="Times New Roman"/>
          <w:sz w:val="26"/>
        </w:rPr>
      </w:pPr>
    </w:p>
    <w:p w14:paraId="45A163C4" w14:textId="77777777" w:rsidR="00210006" w:rsidRDefault="00210006">
      <w:pPr>
        <w:pStyle w:val="BodyText"/>
        <w:rPr>
          <w:rFonts w:ascii="Times New Roman"/>
          <w:sz w:val="26"/>
        </w:rPr>
      </w:pPr>
    </w:p>
    <w:p w14:paraId="5B7D39F8" w14:textId="77777777" w:rsidR="00210006" w:rsidRDefault="00210006">
      <w:pPr>
        <w:pStyle w:val="BodyText"/>
        <w:rPr>
          <w:rFonts w:ascii="Times New Roman"/>
          <w:sz w:val="26"/>
        </w:rPr>
      </w:pPr>
    </w:p>
    <w:p w14:paraId="6E25C67E" w14:textId="77777777" w:rsidR="00210006" w:rsidRDefault="00210006">
      <w:pPr>
        <w:pStyle w:val="BodyText"/>
        <w:rPr>
          <w:rFonts w:ascii="Times New Roman"/>
          <w:sz w:val="26"/>
        </w:rPr>
      </w:pPr>
    </w:p>
    <w:p w14:paraId="3A3CC317" w14:textId="77777777" w:rsidR="00210006" w:rsidRDefault="00210006">
      <w:pPr>
        <w:pStyle w:val="BodyText"/>
        <w:spacing w:before="9"/>
        <w:rPr>
          <w:rFonts w:ascii="Times New Roman"/>
          <w:sz w:val="25"/>
        </w:rPr>
      </w:pPr>
    </w:p>
    <w:p w14:paraId="481511D0" w14:textId="77777777" w:rsidR="00210006" w:rsidRDefault="00000000">
      <w:pPr>
        <w:pStyle w:val="Heading1"/>
      </w:pPr>
      <w:r>
        <w:rPr>
          <w:noProof/>
        </w:rPr>
        <w:drawing>
          <wp:anchor distT="0" distB="0" distL="0" distR="0" simplePos="0" relativeHeight="251657216" behindDoc="0" locked="0" layoutInCell="1" allowOverlap="1" wp14:anchorId="50C6FFBF" wp14:editId="7D4E1BFF">
            <wp:simplePos x="0" y="0"/>
            <wp:positionH relativeFrom="page">
              <wp:posOffset>713105</wp:posOffset>
            </wp:positionH>
            <wp:positionV relativeFrom="paragraph">
              <wp:posOffset>-1078563</wp:posOffset>
            </wp:positionV>
            <wp:extent cx="1022094" cy="10140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22094" cy="1014093"/>
                    </a:xfrm>
                    <a:prstGeom prst="rect">
                      <a:avLst/>
                    </a:prstGeom>
                  </pic:spPr>
                </pic:pic>
              </a:graphicData>
            </a:graphic>
          </wp:anchor>
        </w:drawing>
      </w:r>
      <w:r>
        <w:rPr>
          <w:color w:val="4A392D"/>
          <w:w w:val="120"/>
        </w:rPr>
        <w:t>December 2, 2025</w:t>
      </w:r>
    </w:p>
    <w:p w14:paraId="6B5924D6" w14:textId="77777777" w:rsidR="00210006" w:rsidRDefault="00210006">
      <w:pPr>
        <w:pStyle w:val="BodyText"/>
        <w:spacing w:before="6"/>
        <w:rPr>
          <w:b/>
          <w:sz w:val="28"/>
        </w:rPr>
      </w:pPr>
    </w:p>
    <w:p w14:paraId="55E7227F" w14:textId="77777777" w:rsidR="00210006" w:rsidRDefault="00000000">
      <w:pPr>
        <w:pStyle w:val="BodyText"/>
        <w:spacing w:line="273" w:lineRule="auto"/>
        <w:ind w:left="103" w:right="291"/>
      </w:pPr>
      <w:r>
        <w:rPr>
          <w:color w:val="4A392D"/>
          <w:w w:val="125"/>
        </w:rPr>
        <w:t>Attn: Boreth Long 6905 96</w:t>
      </w:r>
      <w:proofErr w:type="spellStart"/>
      <w:r>
        <w:rPr>
          <w:color w:val="4A392D"/>
          <w:w w:val="125"/>
          <w:position w:val="8"/>
          <w:sz w:val="13"/>
        </w:rPr>
        <w:t>th</w:t>
      </w:r>
      <w:proofErr w:type="spellEnd"/>
      <w:r>
        <w:rPr>
          <w:color w:val="4A392D"/>
          <w:w w:val="125"/>
          <w:position w:val="8"/>
          <w:sz w:val="13"/>
        </w:rPr>
        <w:t xml:space="preserve"> </w:t>
      </w:r>
      <w:r>
        <w:rPr>
          <w:color w:val="4A392D"/>
          <w:w w:val="125"/>
        </w:rPr>
        <w:t>Ave SE</w:t>
      </w:r>
    </w:p>
    <w:p w14:paraId="1F234C9D" w14:textId="77777777" w:rsidR="00210006" w:rsidRDefault="00000000">
      <w:pPr>
        <w:pStyle w:val="BodyText"/>
        <w:spacing w:before="5" w:line="273" w:lineRule="auto"/>
        <w:ind w:left="103"/>
      </w:pPr>
      <w:r>
        <w:rPr>
          <w:color w:val="4A392D"/>
          <w:w w:val="120"/>
        </w:rPr>
        <w:t>Mercer Island, WA 98040 Via: Email</w:t>
      </w:r>
    </w:p>
    <w:p w14:paraId="283EDAC9" w14:textId="77777777" w:rsidR="00210006" w:rsidRDefault="00000000">
      <w:pPr>
        <w:spacing w:before="102"/>
        <w:ind w:left="102"/>
        <w:rPr>
          <w:b/>
          <w:sz w:val="20"/>
        </w:rPr>
      </w:pPr>
      <w:r>
        <w:br w:type="column"/>
      </w:r>
      <w:r>
        <w:rPr>
          <w:b/>
          <w:color w:val="0068B4"/>
          <w:w w:val="120"/>
          <w:sz w:val="20"/>
        </w:rPr>
        <w:t>COMMUNITY  PLANNING  &amp;</w:t>
      </w:r>
      <w:r>
        <w:rPr>
          <w:b/>
          <w:color w:val="0068B4"/>
          <w:spacing w:val="34"/>
          <w:w w:val="120"/>
          <w:sz w:val="20"/>
        </w:rPr>
        <w:t xml:space="preserve"> </w:t>
      </w:r>
      <w:r>
        <w:rPr>
          <w:b/>
          <w:color w:val="0068B4"/>
          <w:w w:val="120"/>
          <w:sz w:val="20"/>
        </w:rPr>
        <w:t>DEVELOPMENT</w:t>
      </w:r>
    </w:p>
    <w:p w14:paraId="0E5C09E5" w14:textId="77777777" w:rsidR="00210006" w:rsidRDefault="00000000">
      <w:pPr>
        <w:spacing w:before="121" w:line="243" w:lineRule="exact"/>
        <w:ind w:right="101"/>
        <w:jc w:val="right"/>
        <w:rPr>
          <w:sz w:val="20"/>
        </w:rPr>
      </w:pPr>
      <w:r>
        <w:rPr>
          <w:color w:val="4A392D"/>
          <w:w w:val="110"/>
          <w:sz w:val="20"/>
        </w:rPr>
        <w:t>206.275.7605</w:t>
      </w:r>
    </w:p>
    <w:p w14:paraId="7BF4447E" w14:textId="77777777" w:rsidR="00210006" w:rsidRDefault="00210006">
      <w:pPr>
        <w:spacing w:line="243" w:lineRule="exact"/>
        <w:ind w:right="102"/>
        <w:jc w:val="right"/>
        <w:rPr>
          <w:sz w:val="20"/>
        </w:rPr>
      </w:pPr>
      <w:hyperlink r:id="rId10">
        <w:r>
          <w:rPr>
            <w:color w:val="4A392D"/>
            <w:w w:val="120"/>
            <w:sz w:val="20"/>
          </w:rPr>
          <w:t>www.mercerisland.gov/cpd</w:t>
        </w:r>
      </w:hyperlink>
    </w:p>
    <w:p w14:paraId="64F49FB7" w14:textId="77777777" w:rsidR="00210006" w:rsidRDefault="00210006">
      <w:pPr>
        <w:spacing w:line="243" w:lineRule="exact"/>
        <w:jc w:val="right"/>
        <w:rPr>
          <w:sz w:val="20"/>
        </w:rPr>
        <w:sectPr w:rsidR="00210006">
          <w:type w:val="continuous"/>
          <w:pgSz w:w="12240" w:h="15840"/>
          <w:pgMar w:top="380" w:right="1020" w:bottom="920" w:left="1020" w:header="720" w:footer="720" w:gutter="0"/>
          <w:cols w:num="2" w:space="720" w:equalWidth="0">
            <w:col w:w="2916" w:space="2669"/>
            <w:col w:w="4615"/>
          </w:cols>
        </w:sectPr>
      </w:pPr>
    </w:p>
    <w:p w14:paraId="17A018C2" w14:textId="77777777" w:rsidR="00210006" w:rsidRDefault="00210006">
      <w:pPr>
        <w:pStyle w:val="BodyText"/>
        <w:spacing w:before="5"/>
        <w:rPr>
          <w:sz w:val="11"/>
        </w:rPr>
      </w:pPr>
    </w:p>
    <w:p w14:paraId="73E285D1" w14:textId="77777777" w:rsidR="00210006" w:rsidRDefault="00000000">
      <w:pPr>
        <w:pStyle w:val="BodyText"/>
        <w:spacing w:before="105" w:line="489" w:lineRule="auto"/>
        <w:ind w:left="103" w:right="1535"/>
      </w:pPr>
      <w:r>
        <w:rPr>
          <w:color w:val="4A392D"/>
          <w:w w:val="120"/>
        </w:rPr>
        <w:t xml:space="preserve">RE: </w:t>
      </w:r>
      <w:r>
        <w:rPr>
          <w:b/>
          <w:color w:val="4A392D"/>
          <w:w w:val="120"/>
        </w:rPr>
        <w:t xml:space="preserve">ADU25-012 </w:t>
      </w:r>
      <w:r>
        <w:rPr>
          <w:color w:val="4A392D"/>
          <w:w w:val="120"/>
        </w:rPr>
        <w:t xml:space="preserve">Review Letter </w:t>
      </w:r>
      <w:r>
        <w:rPr>
          <w:color w:val="4A392D"/>
          <w:w w:val="105"/>
        </w:rPr>
        <w:t xml:space="preserve">1; </w:t>
      </w:r>
      <w:r>
        <w:rPr>
          <w:color w:val="4A392D"/>
          <w:w w:val="120"/>
        </w:rPr>
        <w:t>6905 96</w:t>
      </w:r>
      <w:proofErr w:type="spellStart"/>
      <w:r>
        <w:rPr>
          <w:color w:val="4A392D"/>
          <w:w w:val="120"/>
          <w:position w:val="8"/>
          <w:sz w:val="13"/>
        </w:rPr>
        <w:t>th</w:t>
      </w:r>
      <w:proofErr w:type="spellEnd"/>
      <w:r>
        <w:rPr>
          <w:color w:val="4A392D"/>
          <w:w w:val="120"/>
          <w:position w:val="8"/>
          <w:sz w:val="13"/>
        </w:rPr>
        <w:t xml:space="preserve"> </w:t>
      </w:r>
      <w:r>
        <w:rPr>
          <w:color w:val="4A392D"/>
          <w:w w:val="120"/>
        </w:rPr>
        <w:t>Ave SE, Mercer Island, WA 98040 Dear Boreth,</w:t>
      </w:r>
    </w:p>
    <w:p w14:paraId="54349DBB" w14:textId="77777777" w:rsidR="00210006" w:rsidRDefault="00000000">
      <w:pPr>
        <w:pStyle w:val="BodyText"/>
        <w:spacing w:before="1" w:line="276" w:lineRule="auto"/>
        <w:ind w:left="103" w:right="315"/>
      </w:pPr>
      <w:r>
        <w:rPr>
          <w:color w:val="4A392D"/>
          <w:w w:val="120"/>
        </w:rPr>
        <w:t>The City of Mercer Island Community Planning and Development Department has completed a review for compliance with the zoning code, Title 19 of the Mercer Island City Code (MICC) for the above Accessory Dwelling Unit application. The following issues need to be addressed in your</w:t>
      </w:r>
      <w:r>
        <w:rPr>
          <w:color w:val="4A392D"/>
          <w:spacing w:val="-11"/>
          <w:w w:val="120"/>
        </w:rPr>
        <w:t xml:space="preserve"> </w:t>
      </w:r>
      <w:r>
        <w:rPr>
          <w:color w:val="4A392D"/>
          <w:w w:val="120"/>
        </w:rPr>
        <w:t>resubmission:</w:t>
      </w:r>
    </w:p>
    <w:p w14:paraId="0194040D" w14:textId="77777777" w:rsidR="00210006" w:rsidRDefault="00210006">
      <w:pPr>
        <w:pStyle w:val="BodyText"/>
        <w:spacing w:before="6"/>
        <w:rPr>
          <w:sz w:val="19"/>
        </w:rPr>
      </w:pPr>
    </w:p>
    <w:p w14:paraId="266C1687" w14:textId="26832F0C" w:rsidR="00210006" w:rsidRPr="00623D50" w:rsidRDefault="00000000">
      <w:pPr>
        <w:pStyle w:val="ListParagraph"/>
        <w:numPr>
          <w:ilvl w:val="0"/>
          <w:numId w:val="1"/>
        </w:numPr>
        <w:tabs>
          <w:tab w:val="left" w:pos="822"/>
          <w:tab w:val="left" w:pos="823"/>
        </w:tabs>
        <w:spacing w:line="276" w:lineRule="auto"/>
        <w:ind w:right="112"/>
      </w:pPr>
      <w:r>
        <w:rPr>
          <w:color w:val="4A392D"/>
          <w:w w:val="120"/>
        </w:rPr>
        <w:t>Please adjust the setbacks for the detached ADU on the plan</w:t>
      </w:r>
      <w:r w:rsidR="00C37B5E">
        <w:rPr>
          <w:color w:val="4A392D"/>
          <w:w w:val="120"/>
        </w:rPr>
        <w:t xml:space="preserve"> </w:t>
      </w:r>
      <w:r>
        <w:rPr>
          <w:color w:val="4A392D"/>
          <w:w w:val="120"/>
        </w:rPr>
        <w:t>set. Per MICC 19.02.020(C)(1)(c)(iii)(b), single-family dwellings with a height of more than 25 feet measured from the existing or finished grade, whichever is lower, to the top of the exterior wall facade adjoining the side yard shall provide  a  minimum  side  yard depth of ten feet. It appears the south exterior wall may exceed 25 feet and may  need to demonstrate a minimum side yard of 10 feet. Please note that no part of the structure may protrude into a minimum yard, per MICC</w:t>
      </w:r>
      <w:r>
        <w:rPr>
          <w:color w:val="4A392D"/>
          <w:spacing w:val="-25"/>
          <w:w w:val="120"/>
        </w:rPr>
        <w:t xml:space="preserve"> </w:t>
      </w:r>
      <w:r>
        <w:rPr>
          <w:color w:val="4A392D"/>
          <w:w w:val="120"/>
        </w:rPr>
        <w:t>19.02.020.(C)(3)(a)(ii).</w:t>
      </w:r>
    </w:p>
    <w:p w14:paraId="4E44BF2C" w14:textId="40ABD3C6" w:rsidR="00623D50" w:rsidRPr="00623D50" w:rsidRDefault="00623D50" w:rsidP="00623D50">
      <w:pPr>
        <w:tabs>
          <w:tab w:val="left" w:pos="822"/>
          <w:tab w:val="left" w:pos="823"/>
        </w:tabs>
        <w:spacing w:line="276" w:lineRule="auto"/>
        <w:ind w:right="112"/>
        <w:rPr>
          <w:rFonts w:ascii="Arial" w:hAnsi="Arial" w:cs="Arial"/>
          <w:b/>
          <w:bCs/>
          <w:color w:val="E36C0A" w:themeColor="accent6" w:themeShade="BF"/>
        </w:rPr>
      </w:pPr>
      <w:r w:rsidRPr="00623D50">
        <w:rPr>
          <w:rFonts w:ascii="Arial" w:hAnsi="Arial" w:cs="Arial"/>
          <w:b/>
          <w:bCs/>
          <w:color w:val="E36C0A" w:themeColor="accent6" w:themeShade="BF"/>
        </w:rPr>
        <w:t xml:space="preserve">Planning Department Response 12/3/25: </w:t>
      </w:r>
    </w:p>
    <w:p w14:paraId="619F3F8D" w14:textId="42E0FA7A" w:rsidR="00623D50" w:rsidRPr="00623D50" w:rsidRDefault="00623D50" w:rsidP="00623D50">
      <w:pPr>
        <w:tabs>
          <w:tab w:val="left" w:pos="822"/>
          <w:tab w:val="left" w:pos="823"/>
        </w:tabs>
        <w:spacing w:line="276" w:lineRule="auto"/>
        <w:ind w:right="112"/>
        <w:rPr>
          <w:rFonts w:ascii="Arial" w:hAnsi="Arial" w:cs="Arial"/>
          <w:color w:val="E36C0A" w:themeColor="accent6" w:themeShade="BF"/>
        </w:rPr>
      </w:pPr>
      <w:r w:rsidRPr="00623D50">
        <w:rPr>
          <w:rFonts w:ascii="Arial" w:eastAsia="Times New Roman" w:hAnsi="Arial" w:cs="Arial"/>
          <w:color w:val="E36C0A" w:themeColor="accent6" w:themeShade="BF"/>
        </w:rPr>
        <w:t>As for comment #1, there is concern the southern exterior wall may exceed 25 feet, highlighted in the image below. Please indicate the roof framing elevation for this asymmetrical roof design and the height of the exterior wall on the southern side. You are correct if the exterior wall is under 25 feet in height then it will not need to depict the 10 feet yard setback. Please demonstrate how the structure does not meet this code section on the</w:t>
      </w:r>
    </w:p>
    <w:p w14:paraId="70245A05" w14:textId="097F5E04" w:rsidR="00623D50" w:rsidRDefault="00623D50" w:rsidP="00623D50">
      <w:pPr>
        <w:tabs>
          <w:tab w:val="left" w:pos="822"/>
          <w:tab w:val="left" w:pos="823"/>
        </w:tabs>
        <w:spacing w:line="276" w:lineRule="auto"/>
        <w:ind w:right="112"/>
        <w:jc w:val="center"/>
      </w:pPr>
      <w:r w:rsidRPr="00623D50">
        <w:rPr>
          <w:noProof/>
        </w:rPr>
        <w:drawing>
          <wp:inline distT="0" distB="0" distL="0" distR="0" wp14:anchorId="76466344" wp14:editId="055B212A">
            <wp:extent cx="3168813" cy="2552831"/>
            <wp:effectExtent l="0" t="0" r="0" b="0"/>
            <wp:docPr id="1784866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66738" name=""/>
                    <pic:cNvPicPr/>
                  </pic:nvPicPr>
                  <pic:blipFill>
                    <a:blip r:embed="rId11"/>
                    <a:stretch>
                      <a:fillRect/>
                    </a:stretch>
                  </pic:blipFill>
                  <pic:spPr>
                    <a:xfrm>
                      <a:off x="0" y="0"/>
                      <a:ext cx="3168813" cy="2552831"/>
                    </a:xfrm>
                    <a:prstGeom prst="rect">
                      <a:avLst/>
                    </a:prstGeom>
                  </pic:spPr>
                </pic:pic>
              </a:graphicData>
            </a:graphic>
          </wp:inline>
        </w:drawing>
      </w:r>
    </w:p>
    <w:p w14:paraId="76566126" w14:textId="6AD9F35A" w:rsidR="00C37B5E" w:rsidRPr="00C37B5E" w:rsidRDefault="00C37B5E" w:rsidP="00C37B5E">
      <w:pPr>
        <w:tabs>
          <w:tab w:val="left" w:pos="822"/>
          <w:tab w:val="left" w:pos="823"/>
        </w:tabs>
        <w:spacing w:line="276" w:lineRule="auto"/>
        <w:ind w:right="112"/>
        <w:rPr>
          <w:rFonts w:ascii="Arial" w:hAnsi="Arial" w:cs="Arial"/>
          <w:b/>
          <w:bCs/>
          <w:color w:val="0000FF"/>
        </w:rPr>
      </w:pPr>
      <w:r w:rsidRPr="00C37B5E">
        <w:rPr>
          <w:rFonts w:ascii="Arial" w:hAnsi="Arial" w:cs="Arial"/>
          <w:b/>
          <w:bCs/>
          <w:color w:val="0000FF"/>
          <w:u w:val="single"/>
        </w:rPr>
        <w:t>Applicant Response 1/7/2026</w:t>
      </w:r>
      <w:r w:rsidRPr="00623D50">
        <w:rPr>
          <w:rFonts w:ascii="Arial" w:hAnsi="Arial" w:cs="Arial"/>
          <w:b/>
          <w:bCs/>
          <w:color w:val="0000FF"/>
        </w:rPr>
        <w:t>:</w:t>
      </w:r>
    </w:p>
    <w:p w14:paraId="572270D0" w14:textId="569E16CC" w:rsidR="00C37B5E" w:rsidRPr="00C37B5E" w:rsidRDefault="00C37B5E" w:rsidP="00C37B5E">
      <w:pPr>
        <w:widowControl/>
        <w:autoSpaceDE/>
        <w:autoSpaceDN/>
        <w:spacing w:after="160" w:line="278" w:lineRule="auto"/>
        <w:contextualSpacing/>
        <w:rPr>
          <w:rFonts w:ascii="Arial" w:hAnsi="Arial" w:cs="Arial"/>
          <w:color w:val="0000FF"/>
        </w:rPr>
      </w:pPr>
      <w:r w:rsidRPr="00C37B5E">
        <w:rPr>
          <w:rFonts w:ascii="Arial" w:hAnsi="Arial" w:cs="Arial"/>
          <w:color w:val="0000FF"/>
        </w:rPr>
        <w:t>As shown in Sheet A7: EXTERIOR ELEVATION, the ADU building height is 23ft 5 inches from the finished grade (ABE calculation) to the top of the exterior wall façade. Northwest architect revised Sheet A7 to show the height from the existing grade at the SE corner</w:t>
      </w:r>
      <w:r>
        <w:rPr>
          <w:rFonts w:ascii="Arial" w:hAnsi="Arial" w:cs="Arial"/>
          <w:color w:val="0000FF"/>
        </w:rPr>
        <w:t xml:space="preserve">. This demonstrated </w:t>
      </w:r>
      <w:r w:rsidRPr="00C37B5E">
        <w:rPr>
          <w:rFonts w:ascii="Arial" w:hAnsi="Arial" w:cs="Arial"/>
          <w:color w:val="0000FF"/>
        </w:rPr>
        <w:t>that the building height is 24ft 9inches. It is less than 25 feet. Therefore, MICC 19.02.020(C)(1)(c)(iii)(b) is not applicable. We are following MICC 19.02.020(C)(1)(c)(iii)(a) which requires seven and one-half feet (7.5feet) of side yard. We currently have 8 feet of side yard because the roof will protrude 6in past the south exterior wall.</w:t>
      </w:r>
    </w:p>
    <w:p w14:paraId="7E89A99A" w14:textId="77777777" w:rsidR="00623D50" w:rsidRDefault="00623D50" w:rsidP="00623D50">
      <w:pPr>
        <w:tabs>
          <w:tab w:val="left" w:pos="822"/>
          <w:tab w:val="left" w:pos="823"/>
        </w:tabs>
        <w:spacing w:line="276" w:lineRule="auto"/>
        <w:ind w:right="112"/>
      </w:pPr>
    </w:p>
    <w:p w14:paraId="34BDAB64" w14:textId="77777777" w:rsidR="00623D50" w:rsidRDefault="00623D50">
      <w:pPr>
        <w:rPr>
          <w:color w:val="4A392D"/>
          <w:w w:val="125"/>
        </w:rPr>
      </w:pPr>
      <w:r>
        <w:rPr>
          <w:color w:val="4A392D"/>
          <w:w w:val="125"/>
        </w:rPr>
        <w:br w:type="page"/>
      </w:r>
    </w:p>
    <w:p w14:paraId="1BA90E8A" w14:textId="1D828F3C" w:rsidR="00210006" w:rsidRPr="00623D50" w:rsidRDefault="00000000">
      <w:pPr>
        <w:pStyle w:val="ListParagraph"/>
        <w:numPr>
          <w:ilvl w:val="0"/>
          <w:numId w:val="1"/>
        </w:numPr>
        <w:tabs>
          <w:tab w:val="left" w:pos="823"/>
        </w:tabs>
        <w:spacing w:line="276" w:lineRule="auto"/>
        <w:ind w:right="111"/>
      </w:pPr>
      <w:r>
        <w:rPr>
          <w:color w:val="4A392D"/>
          <w:w w:val="125"/>
        </w:rPr>
        <w:lastRenderedPageBreak/>
        <w:t xml:space="preserve">Please depict the appropriate amount of parking on the </w:t>
      </w:r>
      <w:proofErr w:type="spellStart"/>
      <w:r>
        <w:rPr>
          <w:color w:val="4A392D"/>
          <w:w w:val="125"/>
        </w:rPr>
        <w:t>planset</w:t>
      </w:r>
      <w:proofErr w:type="spellEnd"/>
      <w:r>
        <w:rPr>
          <w:color w:val="4A392D"/>
          <w:w w:val="125"/>
        </w:rPr>
        <w:t>. Per MICC 19.02.020(G)(2)(a),</w:t>
      </w:r>
      <w:r>
        <w:rPr>
          <w:color w:val="4A392D"/>
          <w:spacing w:val="-30"/>
          <w:w w:val="125"/>
        </w:rPr>
        <w:t xml:space="preserve"> </w:t>
      </w:r>
      <w:r>
        <w:rPr>
          <w:color w:val="4A392D"/>
          <w:w w:val="125"/>
        </w:rPr>
        <w:t>each</w:t>
      </w:r>
      <w:r>
        <w:rPr>
          <w:color w:val="4A392D"/>
          <w:spacing w:val="-32"/>
          <w:w w:val="125"/>
        </w:rPr>
        <w:t xml:space="preserve"> </w:t>
      </w:r>
      <w:r>
        <w:rPr>
          <w:color w:val="4A392D"/>
          <w:w w:val="125"/>
        </w:rPr>
        <w:t>single-family</w:t>
      </w:r>
      <w:r>
        <w:rPr>
          <w:color w:val="4A392D"/>
          <w:spacing w:val="-30"/>
          <w:w w:val="125"/>
        </w:rPr>
        <w:t xml:space="preserve"> </w:t>
      </w:r>
      <w:r>
        <w:rPr>
          <w:color w:val="4A392D"/>
          <w:w w:val="125"/>
        </w:rPr>
        <w:t>dwelling</w:t>
      </w:r>
      <w:r>
        <w:rPr>
          <w:color w:val="4A392D"/>
          <w:spacing w:val="-31"/>
          <w:w w:val="125"/>
        </w:rPr>
        <w:t xml:space="preserve"> </w:t>
      </w:r>
      <w:r>
        <w:rPr>
          <w:color w:val="4A392D"/>
          <w:w w:val="125"/>
        </w:rPr>
        <w:t>with</w:t>
      </w:r>
      <w:r>
        <w:rPr>
          <w:color w:val="4A392D"/>
          <w:spacing w:val="-31"/>
          <w:w w:val="125"/>
        </w:rPr>
        <w:t xml:space="preserve"> </w:t>
      </w:r>
      <w:r>
        <w:rPr>
          <w:color w:val="4A392D"/>
          <w:w w:val="125"/>
        </w:rPr>
        <w:t>a</w:t>
      </w:r>
      <w:r>
        <w:rPr>
          <w:color w:val="4A392D"/>
          <w:spacing w:val="-31"/>
          <w:w w:val="125"/>
        </w:rPr>
        <w:t xml:space="preserve"> </w:t>
      </w:r>
      <w:r>
        <w:rPr>
          <w:color w:val="4A392D"/>
          <w:w w:val="125"/>
        </w:rPr>
        <w:t>gross</w:t>
      </w:r>
      <w:r>
        <w:rPr>
          <w:color w:val="4A392D"/>
          <w:spacing w:val="-31"/>
          <w:w w:val="125"/>
        </w:rPr>
        <w:t xml:space="preserve"> </w:t>
      </w:r>
      <w:r>
        <w:rPr>
          <w:color w:val="4A392D"/>
          <w:w w:val="125"/>
        </w:rPr>
        <w:t>floor</w:t>
      </w:r>
      <w:r>
        <w:rPr>
          <w:color w:val="4A392D"/>
          <w:spacing w:val="-31"/>
          <w:w w:val="125"/>
        </w:rPr>
        <w:t xml:space="preserve"> </w:t>
      </w:r>
      <w:r>
        <w:rPr>
          <w:color w:val="4A392D"/>
          <w:w w:val="125"/>
        </w:rPr>
        <w:t>area</w:t>
      </w:r>
      <w:r>
        <w:rPr>
          <w:color w:val="4A392D"/>
          <w:spacing w:val="-31"/>
          <w:w w:val="125"/>
        </w:rPr>
        <w:t xml:space="preserve"> </w:t>
      </w:r>
      <w:r>
        <w:rPr>
          <w:color w:val="4A392D"/>
          <w:w w:val="125"/>
        </w:rPr>
        <w:t>of</w:t>
      </w:r>
      <w:r>
        <w:rPr>
          <w:color w:val="4A392D"/>
          <w:spacing w:val="-31"/>
          <w:w w:val="125"/>
        </w:rPr>
        <w:t xml:space="preserve"> </w:t>
      </w:r>
      <w:r>
        <w:rPr>
          <w:color w:val="4A392D"/>
          <w:w w:val="125"/>
        </w:rPr>
        <w:t>3,000</w:t>
      </w:r>
      <w:r>
        <w:rPr>
          <w:color w:val="4A392D"/>
          <w:spacing w:val="-31"/>
          <w:w w:val="125"/>
        </w:rPr>
        <w:t xml:space="preserve"> </w:t>
      </w:r>
      <w:r>
        <w:rPr>
          <w:color w:val="4A392D"/>
          <w:w w:val="125"/>
        </w:rPr>
        <w:t>square feet or more shall have at least three parking spaces sufficient in size to park a passenger</w:t>
      </w:r>
      <w:r>
        <w:rPr>
          <w:color w:val="4A392D"/>
          <w:spacing w:val="-33"/>
          <w:w w:val="125"/>
        </w:rPr>
        <w:t xml:space="preserve"> </w:t>
      </w:r>
      <w:r>
        <w:rPr>
          <w:color w:val="4A392D"/>
          <w:w w:val="125"/>
        </w:rPr>
        <w:t>automobile.</w:t>
      </w:r>
      <w:r>
        <w:rPr>
          <w:color w:val="4A392D"/>
          <w:spacing w:val="-33"/>
          <w:w w:val="125"/>
        </w:rPr>
        <w:t xml:space="preserve"> </w:t>
      </w:r>
      <w:r>
        <w:rPr>
          <w:color w:val="4A392D"/>
          <w:w w:val="125"/>
        </w:rPr>
        <w:t>Per</w:t>
      </w:r>
      <w:r>
        <w:rPr>
          <w:color w:val="4A392D"/>
          <w:spacing w:val="-35"/>
          <w:w w:val="125"/>
        </w:rPr>
        <w:t xml:space="preserve"> </w:t>
      </w:r>
      <w:r>
        <w:rPr>
          <w:color w:val="4A392D"/>
          <w:w w:val="125"/>
        </w:rPr>
        <w:t>MICC</w:t>
      </w:r>
      <w:r>
        <w:rPr>
          <w:color w:val="4A392D"/>
          <w:spacing w:val="-33"/>
          <w:w w:val="125"/>
        </w:rPr>
        <w:t xml:space="preserve"> </w:t>
      </w:r>
      <w:r>
        <w:rPr>
          <w:color w:val="4A392D"/>
          <w:w w:val="125"/>
        </w:rPr>
        <w:t>19.02.030(B)(9)(c),</w:t>
      </w:r>
      <w:r>
        <w:rPr>
          <w:color w:val="4A392D"/>
          <w:spacing w:val="-32"/>
          <w:w w:val="125"/>
        </w:rPr>
        <w:t xml:space="preserve"> </w:t>
      </w:r>
      <w:r>
        <w:rPr>
          <w:color w:val="4A392D"/>
          <w:w w:val="125"/>
        </w:rPr>
        <w:t>two</w:t>
      </w:r>
      <w:r>
        <w:rPr>
          <w:color w:val="4A392D"/>
          <w:spacing w:val="-33"/>
          <w:w w:val="125"/>
        </w:rPr>
        <w:t xml:space="preserve"> </w:t>
      </w:r>
      <w:r>
        <w:rPr>
          <w:color w:val="4A392D"/>
          <w:w w:val="125"/>
        </w:rPr>
        <w:t>off-street</w:t>
      </w:r>
      <w:r>
        <w:rPr>
          <w:color w:val="4A392D"/>
          <w:spacing w:val="-33"/>
          <w:w w:val="125"/>
        </w:rPr>
        <w:t xml:space="preserve"> </w:t>
      </w:r>
      <w:r>
        <w:rPr>
          <w:color w:val="4A392D"/>
          <w:w w:val="125"/>
        </w:rPr>
        <w:t>parking</w:t>
      </w:r>
      <w:r>
        <w:rPr>
          <w:color w:val="4A392D"/>
          <w:spacing w:val="-34"/>
          <w:w w:val="125"/>
        </w:rPr>
        <w:t xml:space="preserve"> </w:t>
      </w:r>
      <w:r>
        <w:rPr>
          <w:color w:val="4A392D"/>
          <w:w w:val="125"/>
        </w:rPr>
        <w:t>spaces</w:t>
      </w:r>
      <w:r>
        <w:rPr>
          <w:color w:val="4A392D"/>
          <w:spacing w:val="-33"/>
          <w:w w:val="125"/>
        </w:rPr>
        <w:t xml:space="preserve"> </w:t>
      </w:r>
      <w:r>
        <w:rPr>
          <w:color w:val="4A392D"/>
          <w:w w:val="125"/>
        </w:rPr>
        <w:t>are required</w:t>
      </w:r>
      <w:r>
        <w:rPr>
          <w:color w:val="4A392D"/>
          <w:spacing w:val="-12"/>
          <w:w w:val="125"/>
        </w:rPr>
        <w:t xml:space="preserve"> </w:t>
      </w:r>
      <w:r>
        <w:rPr>
          <w:color w:val="4A392D"/>
          <w:w w:val="125"/>
        </w:rPr>
        <w:t>per</w:t>
      </w:r>
      <w:r>
        <w:rPr>
          <w:color w:val="4A392D"/>
          <w:spacing w:val="-10"/>
          <w:w w:val="125"/>
        </w:rPr>
        <w:t xml:space="preserve"> </w:t>
      </w:r>
      <w:r>
        <w:rPr>
          <w:color w:val="4A392D"/>
          <w:w w:val="125"/>
        </w:rPr>
        <w:t>unit</w:t>
      </w:r>
      <w:r>
        <w:rPr>
          <w:color w:val="4A392D"/>
          <w:spacing w:val="-13"/>
          <w:w w:val="125"/>
        </w:rPr>
        <w:t xml:space="preserve"> </w:t>
      </w:r>
      <w:r>
        <w:rPr>
          <w:color w:val="4A392D"/>
          <w:w w:val="125"/>
        </w:rPr>
        <w:t>with</w:t>
      </w:r>
      <w:r>
        <w:rPr>
          <w:color w:val="4A392D"/>
          <w:spacing w:val="-13"/>
          <w:w w:val="125"/>
        </w:rPr>
        <w:t xml:space="preserve"> </w:t>
      </w:r>
      <w:r>
        <w:rPr>
          <w:color w:val="4A392D"/>
          <w:w w:val="125"/>
        </w:rPr>
        <w:t>development</w:t>
      </w:r>
      <w:r>
        <w:rPr>
          <w:color w:val="4A392D"/>
          <w:spacing w:val="-13"/>
          <w:w w:val="125"/>
        </w:rPr>
        <w:t xml:space="preserve"> </w:t>
      </w:r>
      <w:r>
        <w:rPr>
          <w:color w:val="4A392D"/>
          <w:w w:val="125"/>
        </w:rPr>
        <w:t>of</w:t>
      </w:r>
      <w:r>
        <w:rPr>
          <w:color w:val="4A392D"/>
          <w:spacing w:val="-11"/>
          <w:w w:val="125"/>
        </w:rPr>
        <w:t xml:space="preserve"> </w:t>
      </w:r>
      <w:r>
        <w:rPr>
          <w:color w:val="4A392D"/>
          <w:w w:val="125"/>
        </w:rPr>
        <w:t>accessory</w:t>
      </w:r>
      <w:r>
        <w:rPr>
          <w:color w:val="4A392D"/>
          <w:spacing w:val="-10"/>
          <w:w w:val="125"/>
        </w:rPr>
        <w:t xml:space="preserve"> </w:t>
      </w:r>
      <w:r>
        <w:rPr>
          <w:color w:val="4A392D"/>
          <w:w w:val="125"/>
        </w:rPr>
        <w:t>dwelling</w:t>
      </w:r>
      <w:r>
        <w:rPr>
          <w:color w:val="4A392D"/>
          <w:spacing w:val="-12"/>
          <w:w w:val="125"/>
        </w:rPr>
        <w:t xml:space="preserve"> </w:t>
      </w:r>
      <w:r>
        <w:rPr>
          <w:color w:val="4A392D"/>
          <w:w w:val="125"/>
        </w:rPr>
        <w:t>units</w:t>
      </w:r>
      <w:r>
        <w:rPr>
          <w:color w:val="4A392D"/>
          <w:spacing w:val="-10"/>
          <w:w w:val="125"/>
        </w:rPr>
        <w:t xml:space="preserve"> </w:t>
      </w:r>
      <w:r>
        <w:rPr>
          <w:color w:val="4A392D"/>
          <w:w w:val="125"/>
        </w:rPr>
        <w:t>on</w:t>
      </w:r>
      <w:r>
        <w:rPr>
          <w:color w:val="4A392D"/>
          <w:spacing w:val="-11"/>
          <w:w w:val="125"/>
        </w:rPr>
        <w:t xml:space="preserve"> </w:t>
      </w:r>
      <w:r>
        <w:rPr>
          <w:color w:val="4A392D"/>
          <w:w w:val="125"/>
        </w:rPr>
        <w:t>lots</w:t>
      </w:r>
      <w:r>
        <w:rPr>
          <w:color w:val="4A392D"/>
          <w:spacing w:val="-11"/>
          <w:w w:val="125"/>
        </w:rPr>
        <w:t xml:space="preserve"> </w:t>
      </w:r>
      <w:r>
        <w:rPr>
          <w:color w:val="4A392D"/>
          <w:w w:val="125"/>
        </w:rPr>
        <w:t>greater</w:t>
      </w:r>
      <w:r>
        <w:rPr>
          <w:color w:val="4A392D"/>
          <w:spacing w:val="-9"/>
          <w:w w:val="125"/>
        </w:rPr>
        <w:t xml:space="preserve"> </w:t>
      </w:r>
      <w:r>
        <w:rPr>
          <w:color w:val="4A392D"/>
          <w:w w:val="125"/>
        </w:rPr>
        <w:t>than 6,000 square feet before any zero lot line subdivisions or lot splits. For parking dimensions,</w:t>
      </w:r>
      <w:r>
        <w:rPr>
          <w:color w:val="4A392D"/>
          <w:spacing w:val="-24"/>
          <w:w w:val="125"/>
        </w:rPr>
        <w:t xml:space="preserve"> </w:t>
      </w:r>
      <w:r>
        <w:rPr>
          <w:color w:val="4A392D"/>
          <w:w w:val="125"/>
        </w:rPr>
        <w:t>see</w:t>
      </w:r>
      <w:r>
        <w:rPr>
          <w:color w:val="4A392D"/>
          <w:spacing w:val="-24"/>
          <w:w w:val="125"/>
        </w:rPr>
        <w:t xml:space="preserve"> </w:t>
      </w:r>
      <w:r>
        <w:rPr>
          <w:color w:val="4A392D"/>
          <w:w w:val="125"/>
        </w:rPr>
        <w:t>MICC</w:t>
      </w:r>
      <w:r>
        <w:rPr>
          <w:color w:val="4A392D"/>
          <w:spacing w:val="-26"/>
          <w:w w:val="125"/>
        </w:rPr>
        <w:t xml:space="preserve"> </w:t>
      </w:r>
      <w:r>
        <w:rPr>
          <w:color w:val="4A392D"/>
          <w:w w:val="125"/>
        </w:rPr>
        <w:t>19.02.020(G)(7).</w:t>
      </w:r>
      <w:r>
        <w:rPr>
          <w:color w:val="4A392D"/>
          <w:spacing w:val="-24"/>
          <w:w w:val="125"/>
        </w:rPr>
        <w:t xml:space="preserve"> </w:t>
      </w:r>
      <w:r>
        <w:rPr>
          <w:color w:val="4A392D"/>
          <w:w w:val="125"/>
        </w:rPr>
        <w:t>Parking</w:t>
      </w:r>
      <w:r>
        <w:rPr>
          <w:color w:val="4A392D"/>
          <w:spacing w:val="-25"/>
          <w:w w:val="125"/>
        </w:rPr>
        <w:t xml:space="preserve"> </w:t>
      </w:r>
      <w:r>
        <w:rPr>
          <w:color w:val="4A392D"/>
          <w:w w:val="125"/>
        </w:rPr>
        <w:t>spaces</w:t>
      </w:r>
      <w:r>
        <w:rPr>
          <w:color w:val="4A392D"/>
          <w:spacing w:val="-25"/>
          <w:w w:val="125"/>
        </w:rPr>
        <w:t xml:space="preserve"> </w:t>
      </w:r>
      <w:r>
        <w:rPr>
          <w:color w:val="4A392D"/>
          <w:w w:val="125"/>
        </w:rPr>
        <w:t>in</w:t>
      </w:r>
      <w:r>
        <w:rPr>
          <w:color w:val="4A392D"/>
          <w:spacing w:val="-25"/>
          <w:w w:val="125"/>
        </w:rPr>
        <w:t xml:space="preserve"> </w:t>
      </w:r>
      <w:r>
        <w:rPr>
          <w:color w:val="4A392D"/>
          <w:w w:val="125"/>
        </w:rPr>
        <w:t>tandem</w:t>
      </w:r>
      <w:r>
        <w:rPr>
          <w:color w:val="4A392D"/>
          <w:spacing w:val="-25"/>
          <w:w w:val="125"/>
        </w:rPr>
        <w:t xml:space="preserve"> </w:t>
      </w:r>
      <w:r>
        <w:rPr>
          <w:color w:val="4A392D"/>
          <w:w w:val="125"/>
        </w:rPr>
        <w:t>shall</w:t>
      </w:r>
      <w:r>
        <w:rPr>
          <w:color w:val="4A392D"/>
          <w:spacing w:val="-24"/>
          <w:w w:val="125"/>
        </w:rPr>
        <w:t xml:space="preserve"> </w:t>
      </w:r>
      <w:r>
        <w:rPr>
          <w:color w:val="4A392D"/>
          <w:w w:val="125"/>
        </w:rPr>
        <w:t>count</w:t>
      </w:r>
      <w:r>
        <w:rPr>
          <w:color w:val="4A392D"/>
          <w:spacing w:val="-25"/>
          <w:w w:val="125"/>
        </w:rPr>
        <w:t xml:space="preserve"> </w:t>
      </w:r>
      <w:r>
        <w:rPr>
          <w:color w:val="4A392D"/>
          <w:w w:val="125"/>
        </w:rPr>
        <w:t>towards meeting minimum parking requirements at a rate of one space for every 20 linear feet with any necessary provisions for turning radius. For purposes of this subsection, "tandem" is defined as having two or more vehicles, one in front of or behind</w:t>
      </w:r>
      <w:r>
        <w:rPr>
          <w:color w:val="4A392D"/>
          <w:spacing w:val="-7"/>
          <w:w w:val="125"/>
        </w:rPr>
        <w:t xml:space="preserve"> </w:t>
      </w:r>
      <w:r>
        <w:rPr>
          <w:color w:val="4A392D"/>
          <w:w w:val="125"/>
        </w:rPr>
        <w:t>the</w:t>
      </w:r>
      <w:r>
        <w:rPr>
          <w:color w:val="4A392D"/>
          <w:spacing w:val="-5"/>
          <w:w w:val="125"/>
        </w:rPr>
        <w:t xml:space="preserve"> </w:t>
      </w:r>
      <w:r>
        <w:rPr>
          <w:color w:val="4A392D"/>
          <w:w w:val="125"/>
        </w:rPr>
        <w:t>others</w:t>
      </w:r>
      <w:r>
        <w:rPr>
          <w:color w:val="4A392D"/>
          <w:spacing w:val="-7"/>
          <w:w w:val="125"/>
        </w:rPr>
        <w:t xml:space="preserve"> </w:t>
      </w:r>
      <w:r>
        <w:rPr>
          <w:color w:val="4A392D"/>
          <w:w w:val="125"/>
        </w:rPr>
        <w:t>with</w:t>
      </w:r>
      <w:r>
        <w:rPr>
          <w:color w:val="4A392D"/>
          <w:spacing w:val="-6"/>
          <w:w w:val="125"/>
        </w:rPr>
        <w:t xml:space="preserve"> </w:t>
      </w:r>
      <w:r>
        <w:rPr>
          <w:color w:val="4A392D"/>
          <w:w w:val="125"/>
        </w:rPr>
        <w:t>a</w:t>
      </w:r>
      <w:r>
        <w:rPr>
          <w:color w:val="4A392D"/>
          <w:spacing w:val="-6"/>
          <w:w w:val="125"/>
        </w:rPr>
        <w:t xml:space="preserve"> </w:t>
      </w:r>
      <w:r>
        <w:rPr>
          <w:color w:val="4A392D"/>
          <w:w w:val="125"/>
        </w:rPr>
        <w:t>single</w:t>
      </w:r>
      <w:r>
        <w:rPr>
          <w:color w:val="4A392D"/>
          <w:spacing w:val="-6"/>
          <w:w w:val="125"/>
        </w:rPr>
        <w:t xml:space="preserve"> </w:t>
      </w:r>
      <w:r>
        <w:rPr>
          <w:color w:val="4A392D"/>
          <w:w w:val="125"/>
        </w:rPr>
        <w:t>means</w:t>
      </w:r>
      <w:r>
        <w:rPr>
          <w:color w:val="4A392D"/>
          <w:spacing w:val="-6"/>
          <w:w w:val="125"/>
        </w:rPr>
        <w:t xml:space="preserve"> </w:t>
      </w:r>
      <w:r>
        <w:rPr>
          <w:color w:val="4A392D"/>
          <w:w w:val="125"/>
        </w:rPr>
        <w:t>of</w:t>
      </w:r>
      <w:r>
        <w:rPr>
          <w:color w:val="4A392D"/>
          <w:spacing w:val="-6"/>
          <w:w w:val="125"/>
        </w:rPr>
        <w:t xml:space="preserve"> </w:t>
      </w:r>
      <w:r>
        <w:rPr>
          <w:color w:val="4A392D"/>
          <w:w w:val="125"/>
        </w:rPr>
        <w:t>ingress</w:t>
      </w:r>
      <w:r>
        <w:rPr>
          <w:color w:val="4A392D"/>
          <w:spacing w:val="-5"/>
          <w:w w:val="125"/>
        </w:rPr>
        <w:t xml:space="preserve"> </w:t>
      </w:r>
      <w:r>
        <w:rPr>
          <w:color w:val="4A392D"/>
          <w:w w:val="125"/>
        </w:rPr>
        <w:t>and</w:t>
      </w:r>
      <w:r>
        <w:rPr>
          <w:color w:val="4A392D"/>
          <w:spacing w:val="-9"/>
          <w:w w:val="125"/>
        </w:rPr>
        <w:t xml:space="preserve"> </w:t>
      </w:r>
      <w:r>
        <w:rPr>
          <w:color w:val="4A392D"/>
          <w:w w:val="125"/>
        </w:rPr>
        <w:t>egress.</w:t>
      </w:r>
    </w:p>
    <w:p w14:paraId="750BC23E" w14:textId="77777777" w:rsidR="00623D50" w:rsidRDefault="00623D50" w:rsidP="00623D50">
      <w:pPr>
        <w:tabs>
          <w:tab w:val="left" w:pos="823"/>
        </w:tabs>
        <w:spacing w:line="276" w:lineRule="auto"/>
        <w:ind w:right="111"/>
      </w:pPr>
    </w:p>
    <w:p w14:paraId="45AF9B5E" w14:textId="77777777" w:rsidR="00E85D45" w:rsidRPr="00C37B5E" w:rsidRDefault="00E85D45" w:rsidP="00E85D45">
      <w:pPr>
        <w:tabs>
          <w:tab w:val="left" w:pos="822"/>
          <w:tab w:val="left" w:pos="823"/>
        </w:tabs>
        <w:spacing w:line="276" w:lineRule="auto"/>
        <w:ind w:right="112"/>
        <w:rPr>
          <w:rFonts w:ascii="Arial" w:hAnsi="Arial" w:cs="Arial"/>
          <w:b/>
          <w:bCs/>
          <w:color w:val="0000FF"/>
        </w:rPr>
      </w:pPr>
      <w:r w:rsidRPr="00C37B5E">
        <w:rPr>
          <w:rFonts w:ascii="Arial" w:hAnsi="Arial" w:cs="Arial"/>
          <w:b/>
          <w:bCs/>
          <w:color w:val="0000FF"/>
          <w:u w:val="single"/>
        </w:rPr>
        <w:t>Applicant Response 1/7/2026</w:t>
      </w:r>
      <w:r w:rsidRPr="00623D50">
        <w:rPr>
          <w:rFonts w:ascii="Arial" w:hAnsi="Arial" w:cs="Arial"/>
          <w:b/>
          <w:bCs/>
          <w:color w:val="0000FF"/>
        </w:rPr>
        <w:t>:</w:t>
      </w:r>
    </w:p>
    <w:p w14:paraId="2C0785D6" w14:textId="75040586" w:rsidR="000F6792" w:rsidRDefault="00E85D45" w:rsidP="00623D50">
      <w:pPr>
        <w:widowControl/>
        <w:autoSpaceDE/>
        <w:autoSpaceDN/>
        <w:spacing w:after="160" w:line="278" w:lineRule="auto"/>
        <w:contextualSpacing/>
        <w:rPr>
          <w:rFonts w:ascii="Arial" w:hAnsi="Arial" w:cs="Arial"/>
          <w:color w:val="0000FF"/>
        </w:rPr>
      </w:pPr>
      <w:r>
        <w:rPr>
          <w:rFonts w:ascii="Arial" w:hAnsi="Arial" w:cs="Arial"/>
          <w:color w:val="0000FF"/>
        </w:rPr>
        <w:t>Currently, there are a total 4 existing parking spaces</w:t>
      </w:r>
      <w:r w:rsidR="00DD3C0B">
        <w:rPr>
          <w:rFonts w:ascii="Arial" w:hAnsi="Arial" w:cs="Arial"/>
          <w:color w:val="0000FF"/>
        </w:rPr>
        <w:t xml:space="preserve"> as shown on Sheet A0 Site Plan (see snapshot below). We made a decision to remove </w:t>
      </w:r>
      <w:r w:rsidR="00CD72F9">
        <w:rPr>
          <w:rFonts w:ascii="Arial" w:hAnsi="Arial" w:cs="Arial"/>
          <w:color w:val="0000FF"/>
        </w:rPr>
        <w:t xml:space="preserve">dilapidated and </w:t>
      </w:r>
      <w:r w:rsidR="00DD3C0B">
        <w:rPr>
          <w:rFonts w:ascii="Arial" w:hAnsi="Arial" w:cs="Arial"/>
          <w:color w:val="0000FF"/>
        </w:rPr>
        <w:t xml:space="preserve">unused chicken COOP and shed as shown in sheet A0. This reduces the gross floor area from 3172sqft to 2930sqft. </w:t>
      </w:r>
      <w:r w:rsidR="00CD72F9">
        <w:rPr>
          <w:rFonts w:ascii="Arial" w:hAnsi="Arial" w:cs="Arial"/>
          <w:color w:val="0000FF"/>
        </w:rPr>
        <w:t>Therefore, p</w:t>
      </w:r>
      <w:r w:rsidR="00CD72F9" w:rsidRPr="00CD72F9">
        <w:rPr>
          <w:rFonts w:ascii="Arial" w:hAnsi="Arial" w:cs="Arial"/>
          <w:color w:val="0000FF"/>
        </w:rPr>
        <w:t>er MICC 19.02.020(G)(2)(</w:t>
      </w:r>
      <w:r w:rsidR="00CD72F9">
        <w:rPr>
          <w:rFonts w:ascii="Arial" w:hAnsi="Arial" w:cs="Arial"/>
          <w:color w:val="0000FF"/>
        </w:rPr>
        <w:t>b</w:t>
      </w:r>
      <w:r w:rsidR="00CD72F9" w:rsidRPr="00CD72F9">
        <w:rPr>
          <w:rFonts w:ascii="Arial" w:hAnsi="Arial" w:cs="Arial"/>
          <w:color w:val="0000FF"/>
        </w:rPr>
        <w:t xml:space="preserve">), each single-family dwelling with a gross floor area </w:t>
      </w:r>
      <w:r w:rsidR="00CD72F9">
        <w:rPr>
          <w:rFonts w:ascii="Arial" w:hAnsi="Arial" w:cs="Arial"/>
          <w:color w:val="0000FF"/>
        </w:rPr>
        <w:t xml:space="preserve">less than </w:t>
      </w:r>
      <w:r w:rsidR="00CD72F9" w:rsidRPr="00CD72F9">
        <w:rPr>
          <w:rFonts w:ascii="Arial" w:hAnsi="Arial" w:cs="Arial"/>
          <w:color w:val="0000FF"/>
        </w:rPr>
        <w:t>3,000 square feet</w:t>
      </w:r>
      <w:r w:rsidR="00CD72F9">
        <w:rPr>
          <w:rFonts w:ascii="Arial" w:hAnsi="Arial" w:cs="Arial"/>
          <w:color w:val="0000FF"/>
        </w:rPr>
        <w:t xml:space="preserve"> </w:t>
      </w:r>
      <w:r w:rsidR="00CD72F9" w:rsidRPr="00CD72F9">
        <w:rPr>
          <w:rFonts w:ascii="Arial" w:hAnsi="Arial" w:cs="Arial"/>
          <w:color w:val="0000FF"/>
        </w:rPr>
        <w:t>shall have at least t</w:t>
      </w:r>
      <w:r w:rsidR="00CD72F9">
        <w:rPr>
          <w:rFonts w:ascii="Arial" w:hAnsi="Arial" w:cs="Arial"/>
          <w:color w:val="0000FF"/>
        </w:rPr>
        <w:t>wo</w:t>
      </w:r>
      <w:r w:rsidR="00CD72F9" w:rsidRPr="00CD72F9">
        <w:rPr>
          <w:rFonts w:ascii="Arial" w:hAnsi="Arial" w:cs="Arial"/>
          <w:color w:val="0000FF"/>
        </w:rPr>
        <w:t xml:space="preserve"> parking spaces sufficient in size to park a passenger automobile</w:t>
      </w:r>
      <w:r w:rsidR="00CD72F9">
        <w:rPr>
          <w:rFonts w:ascii="Arial" w:hAnsi="Arial" w:cs="Arial"/>
          <w:color w:val="0000FF"/>
        </w:rPr>
        <w:t xml:space="preserve">. </w:t>
      </w:r>
      <w:r w:rsidR="000F6792">
        <w:rPr>
          <w:rFonts w:ascii="Arial" w:hAnsi="Arial" w:cs="Arial"/>
          <w:color w:val="0000FF"/>
        </w:rPr>
        <w:t xml:space="preserve">With 4 parking spaces, this should satisfy and resolve the comment above. </w:t>
      </w:r>
    </w:p>
    <w:p w14:paraId="56908262" w14:textId="77777777" w:rsidR="00CD72F9" w:rsidRDefault="00CD72F9" w:rsidP="00623D50">
      <w:pPr>
        <w:widowControl/>
        <w:autoSpaceDE/>
        <w:autoSpaceDN/>
        <w:spacing w:after="160" w:line="278" w:lineRule="auto"/>
        <w:contextualSpacing/>
        <w:rPr>
          <w:rFonts w:ascii="Arial" w:hAnsi="Arial" w:cs="Arial"/>
          <w:color w:val="0000FF"/>
        </w:rPr>
      </w:pPr>
    </w:p>
    <w:p w14:paraId="33E6C98E" w14:textId="5C5DAC2C" w:rsidR="00CD72F9" w:rsidRDefault="00CD72F9" w:rsidP="00623D50">
      <w:pPr>
        <w:widowControl/>
        <w:autoSpaceDE/>
        <w:autoSpaceDN/>
        <w:spacing w:after="160" w:line="278" w:lineRule="auto"/>
        <w:contextualSpacing/>
        <w:rPr>
          <w:rFonts w:ascii="Arial" w:hAnsi="Arial" w:cs="Arial"/>
          <w:color w:val="0000FF"/>
        </w:rPr>
      </w:pPr>
      <w:r>
        <w:rPr>
          <w:rFonts w:ascii="Arial" w:hAnsi="Arial" w:cs="Arial"/>
          <w:color w:val="0000FF"/>
        </w:rPr>
        <w:t xml:space="preserve">Recently, we </w:t>
      </w:r>
      <w:r w:rsidR="000F6792">
        <w:rPr>
          <w:rFonts w:ascii="Arial" w:hAnsi="Arial" w:cs="Arial"/>
          <w:color w:val="0000FF"/>
        </w:rPr>
        <w:t xml:space="preserve">also </w:t>
      </w:r>
      <w:r>
        <w:rPr>
          <w:rFonts w:ascii="Arial" w:hAnsi="Arial" w:cs="Arial"/>
          <w:color w:val="0000FF"/>
        </w:rPr>
        <w:t>received comments from the building permit review</w:t>
      </w:r>
      <w:r w:rsidR="000F6792">
        <w:rPr>
          <w:rFonts w:ascii="Arial" w:hAnsi="Arial" w:cs="Arial"/>
          <w:color w:val="0000FF"/>
        </w:rPr>
        <w:t xml:space="preserve"> with recommendation to remove the shed since it may not have permit when it was build years ago before we bought the property.</w:t>
      </w:r>
    </w:p>
    <w:p w14:paraId="1EEE38B3" w14:textId="77777777" w:rsidR="00CD72F9" w:rsidRDefault="00CD72F9" w:rsidP="00623D50">
      <w:pPr>
        <w:widowControl/>
        <w:autoSpaceDE/>
        <w:autoSpaceDN/>
        <w:spacing w:after="160" w:line="278" w:lineRule="auto"/>
        <w:contextualSpacing/>
        <w:rPr>
          <w:rFonts w:ascii="Arial" w:hAnsi="Arial" w:cs="Arial"/>
          <w:color w:val="0000FF"/>
        </w:rPr>
      </w:pPr>
    </w:p>
    <w:p w14:paraId="0D078C34" w14:textId="3F07199F" w:rsidR="00DD3C0B" w:rsidRDefault="00DD3C0B" w:rsidP="00623D50">
      <w:pPr>
        <w:widowControl/>
        <w:autoSpaceDE/>
        <w:autoSpaceDN/>
        <w:spacing w:after="160" w:line="278" w:lineRule="auto"/>
        <w:contextualSpacing/>
        <w:rPr>
          <w:rFonts w:ascii="Arial" w:hAnsi="Arial" w:cs="Arial"/>
          <w:color w:val="0000FF"/>
        </w:rPr>
      </w:pPr>
      <w:r w:rsidRPr="00DD3C0B">
        <w:rPr>
          <w:rFonts w:ascii="Arial" w:hAnsi="Arial" w:cs="Arial"/>
          <w:color w:val="0000FF"/>
        </w:rPr>
        <w:drawing>
          <wp:inline distT="0" distB="0" distL="0" distR="0" wp14:anchorId="0E6EAD2D" wp14:editId="32BD809D">
            <wp:extent cx="2746537" cy="2138674"/>
            <wp:effectExtent l="0" t="0" r="0" b="0"/>
            <wp:docPr id="869724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24715" name=""/>
                    <pic:cNvPicPr/>
                  </pic:nvPicPr>
                  <pic:blipFill>
                    <a:blip r:embed="rId12"/>
                    <a:stretch>
                      <a:fillRect/>
                    </a:stretch>
                  </pic:blipFill>
                  <pic:spPr>
                    <a:xfrm>
                      <a:off x="0" y="0"/>
                      <a:ext cx="2755107" cy="2145347"/>
                    </a:xfrm>
                    <a:prstGeom prst="rect">
                      <a:avLst/>
                    </a:prstGeom>
                  </pic:spPr>
                </pic:pic>
              </a:graphicData>
            </a:graphic>
          </wp:inline>
        </w:drawing>
      </w:r>
    </w:p>
    <w:p w14:paraId="16F7D863" w14:textId="77777777" w:rsidR="00E85D45" w:rsidRDefault="00E85D45" w:rsidP="00623D50">
      <w:pPr>
        <w:widowControl/>
        <w:autoSpaceDE/>
        <w:autoSpaceDN/>
        <w:spacing w:after="160" w:line="278" w:lineRule="auto"/>
        <w:contextualSpacing/>
        <w:rPr>
          <w:rFonts w:ascii="Arial" w:hAnsi="Arial" w:cs="Arial"/>
          <w:color w:val="0000FF"/>
        </w:rPr>
      </w:pPr>
    </w:p>
    <w:p w14:paraId="17FF4088" w14:textId="10A2FF96" w:rsidR="00623D50" w:rsidRDefault="00623D50" w:rsidP="00623D50">
      <w:pPr>
        <w:pStyle w:val="ListParagraph"/>
      </w:pPr>
    </w:p>
    <w:p w14:paraId="365B6717" w14:textId="77777777" w:rsidR="00623D50" w:rsidRDefault="00623D50" w:rsidP="00623D50">
      <w:pPr>
        <w:pStyle w:val="ListParagraph"/>
      </w:pPr>
    </w:p>
    <w:p w14:paraId="6B8EBFD9" w14:textId="3654E848" w:rsidR="00623D50" w:rsidRDefault="00623D50" w:rsidP="00623D50">
      <w:pPr>
        <w:pStyle w:val="ListParagraph"/>
      </w:pPr>
    </w:p>
    <w:p w14:paraId="5E62CBEF" w14:textId="77777777" w:rsidR="00623D50" w:rsidRDefault="00623D50" w:rsidP="00623D50">
      <w:pPr>
        <w:pStyle w:val="ListParagraph"/>
      </w:pPr>
    </w:p>
    <w:p w14:paraId="0F368371" w14:textId="77777777" w:rsidR="00623D50" w:rsidRDefault="00623D50" w:rsidP="00623D50">
      <w:pPr>
        <w:pStyle w:val="ListParagraph"/>
      </w:pPr>
      <w:r>
        <w:t xml:space="preserve"> </w:t>
      </w:r>
    </w:p>
    <w:p w14:paraId="5720C52F" w14:textId="77777777" w:rsidR="00623D50" w:rsidRDefault="00623D50" w:rsidP="00623D50">
      <w:pPr>
        <w:tabs>
          <w:tab w:val="left" w:pos="823"/>
        </w:tabs>
        <w:spacing w:line="276" w:lineRule="auto"/>
        <w:ind w:right="111"/>
      </w:pPr>
    </w:p>
    <w:p w14:paraId="54C0F77D" w14:textId="7C58ED90" w:rsidR="00623D50" w:rsidRPr="00623D50" w:rsidRDefault="00623D50" w:rsidP="00623D50">
      <w:pPr>
        <w:tabs>
          <w:tab w:val="left" w:pos="822"/>
          <w:tab w:val="left" w:pos="823"/>
        </w:tabs>
        <w:spacing w:line="276" w:lineRule="auto"/>
        <w:ind w:right="112"/>
        <w:rPr>
          <w:rFonts w:ascii="Arial" w:hAnsi="Arial" w:cs="Arial"/>
          <w:b/>
          <w:bCs/>
          <w:color w:val="0000FF"/>
        </w:rPr>
      </w:pPr>
      <w:r>
        <w:rPr>
          <w:color w:val="4A392D"/>
          <w:w w:val="120"/>
        </w:rPr>
        <w:br w:type="page"/>
      </w:r>
    </w:p>
    <w:p w14:paraId="1B5D8173" w14:textId="09E36828" w:rsidR="00623D50" w:rsidRDefault="00623D50">
      <w:pPr>
        <w:rPr>
          <w:color w:val="4A392D"/>
          <w:w w:val="120"/>
        </w:rPr>
      </w:pPr>
    </w:p>
    <w:p w14:paraId="6E5E1D8A" w14:textId="6B64F6D0" w:rsidR="00210006" w:rsidRPr="00623D50" w:rsidRDefault="00000000" w:rsidP="00623D50">
      <w:pPr>
        <w:pStyle w:val="ListParagraph"/>
        <w:numPr>
          <w:ilvl w:val="0"/>
          <w:numId w:val="1"/>
        </w:numPr>
        <w:tabs>
          <w:tab w:val="left" w:pos="823"/>
        </w:tabs>
        <w:spacing w:before="1" w:line="276" w:lineRule="auto"/>
        <w:ind w:right="315" w:hanging="361"/>
      </w:pPr>
      <w:r w:rsidRPr="00623D50">
        <w:rPr>
          <w:color w:val="4A392D"/>
          <w:w w:val="120"/>
        </w:rPr>
        <w:t>Please describe the height of the retaining wall. Per MICC 19.02.050(D)(4)(a), no retaining walls or rockeries, or any combination of retaining walls or rockeries, to the extent used to protect a cut or cuts into existing grade within any required yard,    shall exceed a total of 144 inches in height. If it is a fill slope, per MICC 19.02.050(D)(5)(a), no retaining walls or rockeries, or any combination of retaining walls or rockeries, to the extent used to raise grade and protect a fill slope, shall  result</w:t>
      </w:r>
      <w:r w:rsidRPr="00623D50">
        <w:rPr>
          <w:color w:val="4A392D"/>
          <w:spacing w:val="8"/>
          <w:w w:val="120"/>
        </w:rPr>
        <w:t xml:space="preserve"> </w:t>
      </w:r>
      <w:r w:rsidRPr="00623D50">
        <w:rPr>
          <w:color w:val="4A392D"/>
          <w:w w:val="120"/>
        </w:rPr>
        <w:t>in</w:t>
      </w:r>
      <w:r w:rsidRPr="00623D50">
        <w:rPr>
          <w:color w:val="4A392D"/>
          <w:spacing w:val="7"/>
          <w:w w:val="120"/>
        </w:rPr>
        <w:t xml:space="preserve"> </w:t>
      </w:r>
      <w:r w:rsidRPr="00623D50">
        <w:rPr>
          <w:color w:val="4A392D"/>
          <w:w w:val="120"/>
        </w:rPr>
        <w:t>an</w:t>
      </w:r>
      <w:r w:rsidRPr="00623D50">
        <w:rPr>
          <w:color w:val="4A392D"/>
          <w:spacing w:val="9"/>
          <w:w w:val="120"/>
        </w:rPr>
        <w:t xml:space="preserve"> </w:t>
      </w:r>
      <w:r w:rsidRPr="00623D50">
        <w:rPr>
          <w:color w:val="4A392D"/>
          <w:w w:val="120"/>
        </w:rPr>
        <w:t>increase</w:t>
      </w:r>
      <w:r w:rsidRPr="00623D50">
        <w:rPr>
          <w:color w:val="4A392D"/>
          <w:spacing w:val="10"/>
          <w:w w:val="120"/>
        </w:rPr>
        <w:t xml:space="preserve"> </w:t>
      </w:r>
      <w:r w:rsidRPr="00623D50">
        <w:rPr>
          <w:color w:val="4A392D"/>
          <w:w w:val="120"/>
        </w:rPr>
        <w:t>in</w:t>
      </w:r>
      <w:r w:rsidRPr="00623D50">
        <w:rPr>
          <w:color w:val="4A392D"/>
          <w:spacing w:val="8"/>
          <w:w w:val="120"/>
        </w:rPr>
        <w:t xml:space="preserve"> </w:t>
      </w:r>
      <w:r w:rsidRPr="00623D50">
        <w:rPr>
          <w:color w:val="4A392D"/>
          <w:w w:val="120"/>
        </w:rPr>
        <w:t>the</w:t>
      </w:r>
      <w:r w:rsidRPr="00623D50">
        <w:rPr>
          <w:color w:val="4A392D"/>
          <w:spacing w:val="10"/>
          <w:w w:val="120"/>
        </w:rPr>
        <w:t xml:space="preserve"> </w:t>
      </w:r>
      <w:r w:rsidRPr="00623D50">
        <w:rPr>
          <w:color w:val="4A392D"/>
          <w:w w:val="120"/>
        </w:rPr>
        <w:t>finished</w:t>
      </w:r>
      <w:r w:rsidRPr="00623D50">
        <w:rPr>
          <w:color w:val="4A392D"/>
          <w:spacing w:val="8"/>
          <w:w w:val="120"/>
        </w:rPr>
        <w:t xml:space="preserve"> </w:t>
      </w:r>
      <w:r w:rsidRPr="00623D50">
        <w:rPr>
          <w:color w:val="4A392D"/>
          <w:w w:val="120"/>
        </w:rPr>
        <w:t>grade</w:t>
      </w:r>
      <w:r w:rsidRPr="00623D50">
        <w:rPr>
          <w:color w:val="4A392D"/>
          <w:spacing w:val="9"/>
          <w:w w:val="120"/>
        </w:rPr>
        <w:t xml:space="preserve"> </w:t>
      </w:r>
      <w:r w:rsidRPr="00623D50">
        <w:rPr>
          <w:color w:val="4A392D"/>
          <w:w w:val="120"/>
        </w:rPr>
        <w:t>by</w:t>
      </w:r>
      <w:r w:rsidRPr="00623D50">
        <w:rPr>
          <w:color w:val="4A392D"/>
          <w:spacing w:val="10"/>
          <w:w w:val="120"/>
        </w:rPr>
        <w:t xml:space="preserve"> </w:t>
      </w:r>
      <w:r w:rsidRPr="00623D50">
        <w:rPr>
          <w:color w:val="4A392D"/>
          <w:w w:val="120"/>
        </w:rPr>
        <w:t>more</w:t>
      </w:r>
      <w:r w:rsidRPr="00623D50">
        <w:rPr>
          <w:color w:val="4A392D"/>
          <w:spacing w:val="10"/>
          <w:w w:val="120"/>
        </w:rPr>
        <w:t xml:space="preserve"> </w:t>
      </w:r>
      <w:r w:rsidRPr="00623D50">
        <w:rPr>
          <w:color w:val="4A392D"/>
          <w:w w:val="120"/>
        </w:rPr>
        <w:t>than</w:t>
      </w:r>
      <w:r w:rsidRPr="00623D50">
        <w:rPr>
          <w:color w:val="4A392D"/>
          <w:spacing w:val="8"/>
          <w:w w:val="120"/>
        </w:rPr>
        <w:t xml:space="preserve"> </w:t>
      </w:r>
      <w:r w:rsidRPr="00623D50">
        <w:rPr>
          <w:color w:val="4A392D"/>
          <w:w w:val="120"/>
        </w:rPr>
        <w:t>72</w:t>
      </w:r>
      <w:r w:rsidRPr="00623D50">
        <w:rPr>
          <w:color w:val="4A392D"/>
          <w:spacing w:val="9"/>
          <w:w w:val="120"/>
        </w:rPr>
        <w:t xml:space="preserve"> </w:t>
      </w:r>
      <w:r w:rsidRPr="00623D50">
        <w:rPr>
          <w:color w:val="4A392D"/>
          <w:w w:val="120"/>
        </w:rPr>
        <w:t>inches</w:t>
      </w:r>
      <w:r w:rsidRPr="00623D50">
        <w:rPr>
          <w:color w:val="4A392D"/>
          <w:spacing w:val="6"/>
          <w:w w:val="120"/>
        </w:rPr>
        <w:t xml:space="preserve"> </w:t>
      </w:r>
      <w:r w:rsidRPr="00623D50">
        <w:rPr>
          <w:color w:val="4A392D"/>
          <w:w w:val="120"/>
        </w:rPr>
        <w:t>at</w:t>
      </w:r>
      <w:r w:rsidRPr="00623D50">
        <w:rPr>
          <w:color w:val="4A392D"/>
          <w:spacing w:val="9"/>
          <w:w w:val="120"/>
        </w:rPr>
        <w:t xml:space="preserve"> </w:t>
      </w:r>
      <w:r w:rsidRPr="00623D50">
        <w:rPr>
          <w:color w:val="4A392D"/>
          <w:w w:val="120"/>
        </w:rPr>
        <w:t>any</w:t>
      </w:r>
      <w:r w:rsidRPr="00623D50">
        <w:rPr>
          <w:color w:val="4A392D"/>
          <w:spacing w:val="10"/>
          <w:w w:val="120"/>
        </w:rPr>
        <w:t xml:space="preserve"> </w:t>
      </w:r>
      <w:r w:rsidRPr="00623D50">
        <w:rPr>
          <w:color w:val="4A392D"/>
          <w:w w:val="120"/>
        </w:rPr>
        <w:t>point.</w:t>
      </w:r>
      <w:r w:rsidRPr="00623D50">
        <w:rPr>
          <w:color w:val="4A392D"/>
          <w:spacing w:val="9"/>
          <w:w w:val="120"/>
        </w:rPr>
        <w:t xml:space="preserve"> </w:t>
      </w:r>
      <w:r w:rsidRPr="00623D50">
        <w:rPr>
          <w:color w:val="4A392D"/>
          <w:w w:val="120"/>
        </w:rPr>
        <w:t>For</w:t>
      </w:r>
      <w:r w:rsidR="00623D50">
        <w:rPr>
          <w:color w:val="4A392D"/>
          <w:w w:val="120"/>
        </w:rPr>
        <w:t xml:space="preserve"> </w:t>
      </w:r>
      <w:r w:rsidRPr="00623D50">
        <w:rPr>
          <w:color w:val="4A392D"/>
          <w:w w:val="120"/>
        </w:rPr>
        <w:t xml:space="preserve">retaining walls outside of required yards, please see MICC 19.02.050(C)(3), retaining walls outside of required yard setbacks shall be stepped to meet a </w:t>
      </w:r>
      <w:r w:rsidRPr="00623D50">
        <w:rPr>
          <w:color w:val="4A392D"/>
          <w:w w:val="105"/>
        </w:rPr>
        <w:t xml:space="preserve">1:1 </w:t>
      </w:r>
      <w:r w:rsidRPr="00623D50">
        <w:rPr>
          <w:color w:val="4A392D"/>
          <w:w w:val="120"/>
        </w:rPr>
        <w:t>ratio of separation with 45 degrees of grade to be considered separate. For example, two six-foot-tall retaining walls would need to be separated by at least six feet of horizontal distance measured from the toe of the upper wall to the top of the bottom wall, to be considered separate and not combined for maximum height calculations.</w:t>
      </w:r>
    </w:p>
    <w:p w14:paraId="2BF7A060" w14:textId="77777777" w:rsidR="00623D50" w:rsidRPr="00623D50" w:rsidRDefault="00623D50" w:rsidP="00623D50">
      <w:pPr>
        <w:rPr>
          <w:rFonts w:ascii="Arial" w:hAnsi="Arial" w:cs="Arial"/>
          <w:color w:val="0000FF"/>
        </w:rPr>
      </w:pPr>
    </w:p>
    <w:p w14:paraId="0A666798" w14:textId="5911D840" w:rsidR="00F75661" w:rsidRPr="00623D50" w:rsidRDefault="00F75661" w:rsidP="00F75661">
      <w:pPr>
        <w:tabs>
          <w:tab w:val="left" w:pos="822"/>
          <w:tab w:val="left" w:pos="823"/>
        </w:tabs>
        <w:spacing w:line="276" w:lineRule="auto"/>
        <w:ind w:right="112"/>
        <w:rPr>
          <w:rFonts w:ascii="Arial" w:hAnsi="Arial" w:cs="Arial"/>
          <w:b/>
          <w:bCs/>
          <w:color w:val="0000FF"/>
        </w:rPr>
      </w:pPr>
      <w:r w:rsidRPr="00C37B5E">
        <w:rPr>
          <w:rFonts w:ascii="Arial" w:hAnsi="Arial" w:cs="Arial"/>
          <w:b/>
          <w:bCs/>
          <w:color w:val="0000FF"/>
          <w:u w:val="single"/>
        </w:rPr>
        <w:t>Applicant</w:t>
      </w:r>
      <w:r>
        <w:rPr>
          <w:rFonts w:ascii="Arial" w:hAnsi="Arial" w:cs="Arial"/>
          <w:b/>
          <w:bCs/>
          <w:color w:val="0000FF"/>
          <w:u w:val="single"/>
        </w:rPr>
        <w:t xml:space="preserve">’s </w:t>
      </w:r>
      <w:r w:rsidRPr="00F75661">
        <w:rPr>
          <w:rFonts w:ascii="Arial" w:hAnsi="Arial" w:cs="Arial"/>
          <w:b/>
          <w:bCs/>
          <w:color w:val="0000FF"/>
          <w:u w:val="single"/>
        </w:rPr>
        <w:t>Follow</w:t>
      </w:r>
      <w:r w:rsidRPr="00F75661">
        <w:rPr>
          <w:rFonts w:ascii="Arial" w:hAnsi="Arial" w:cs="Arial"/>
          <w:b/>
          <w:bCs/>
          <w:color w:val="0000FF"/>
          <w:u w:val="single"/>
        </w:rPr>
        <w:t xml:space="preserve"> </w:t>
      </w:r>
      <w:r w:rsidRPr="00F75661">
        <w:rPr>
          <w:rFonts w:ascii="Arial" w:hAnsi="Arial" w:cs="Arial"/>
          <w:b/>
          <w:bCs/>
          <w:color w:val="0000FF"/>
          <w:u w:val="single"/>
        </w:rPr>
        <w:t>Up Question 12/2/25</w:t>
      </w:r>
      <w:r w:rsidRPr="00623D50">
        <w:rPr>
          <w:rFonts w:ascii="Arial" w:hAnsi="Arial" w:cs="Arial"/>
          <w:b/>
          <w:bCs/>
          <w:color w:val="0000FF"/>
        </w:rPr>
        <w:t>:</w:t>
      </w:r>
    </w:p>
    <w:p w14:paraId="15A0E4B9" w14:textId="77777777" w:rsidR="00F75661" w:rsidRPr="00623D50" w:rsidRDefault="00F75661" w:rsidP="00F75661">
      <w:pPr>
        <w:rPr>
          <w:rFonts w:ascii="Arial" w:hAnsi="Arial" w:cs="Arial"/>
          <w:color w:val="0000FF"/>
        </w:rPr>
      </w:pPr>
      <w:r w:rsidRPr="00623D50">
        <w:rPr>
          <w:rFonts w:ascii="Arial" w:hAnsi="Arial" w:cs="Arial"/>
          <w:color w:val="0000FF"/>
        </w:rPr>
        <w:t xml:space="preserve">As shown in Sheet A0: SITE PLAN, the height of the retaining wall around the ADU is ranging from 1ft to 2.6 ft. The Architect labels the height at top of the retaining wall (i.e. 112.06’) and the bottom of the retaining wall (i.e. 110.0”). Subtracting the height at the top and the bottom of the retaining wall, we can determine the total height of the retaining wall. As you can see, the retaining wall around the ADU is well below 144inches requirement described in MICC 19.02.050(D)(4)(a)  </w:t>
      </w:r>
    </w:p>
    <w:p w14:paraId="4D5F8C14" w14:textId="77777777" w:rsidR="00F75661" w:rsidRDefault="00F75661" w:rsidP="00623D50">
      <w:pPr>
        <w:tabs>
          <w:tab w:val="left" w:pos="822"/>
          <w:tab w:val="left" w:pos="823"/>
        </w:tabs>
        <w:spacing w:line="276" w:lineRule="auto"/>
        <w:ind w:right="112"/>
        <w:rPr>
          <w:rFonts w:ascii="Arial" w:hAnsi="Arial" w:cs="Arial"/>
          <w:b/>
          <w:bCs/>
          <w:color w:val="E36C0A" w:themeColor="accent6" w:themeShade="BF"/>
        </w:rPr>
      </w:pPr>
    </w:p>
    <w:p w14:paraId="01979A57" w14:textId="447B685D" w:rsidR="00623D50" w:rsidRPr="00623D50" w:rsidRDefault="00623D50" w:rsidP="00623D50">
      <w:pPr>
        <w:tabs>
          <w:tab w:val="left" w:pos="822"/>
          <w:tab w:val="left" w:pos="823"/>
        </w:tabs>
        <w:spacing w:line="276" w:lineRule="auto"/>
        <w:ind w:right="112"/>
        <w:rPr>
          <w:rFonts w:ascii="Arial" w:hAnsi="Arial" w:cs="Arial"/>
          <w:b/>
          <w:bCs/>
          <w:color w:val="E36C0A" w:themeColor="accent6" w:themeShade="BF"/>
        </w:rPr>
      </w:pPr>
      <w:r w:rsidRPr="00623D50">
        <w:rPr>
          <w:rFonts w:ascii="Arial" w:hAnsi="Arial" w:cs="Arial"/>
          <w:b/>
          <w:bCs/>
          <w:color w:val="E36C0A" w:themeColor="accent6" w:themeShade="BF"/>
        </w:rPr>
        <w:t xml:space="preserve">Planning Department Response 12/3/25: </w:t>
      </w:r>
    </w:p>
    <w:p w14:paraId="57B5EFDD" w14:textId="77777777" w:rsidR="00623D50" w:rsidRDefault="00623D50" w:rsidP="00623D50">
      <w:pPr>
        <w:widowControl/>
        <w:shd w:val="clear" w:color="auto" w:fill="FFFFFF"/>
        <w:autoSpaceDE/>
        <w:autoSpaceDN/>
        <w:contextualSpacing/>
        <w:rPr>
          <w:rFonts w:ascii="Arial" w:eastAsia="Times New Roman" w:hAnsi="Arial" w:cs="Arial"/>
          <w:color w:val="E36C0A" w:themeColor="accent6" w:themeShade="BF"/>
        </w:rPr>
      </w:pPr>
      <w:r w:rsidRPr="00623D50">
        <w:rPr>
          <w:rFonts w:ascii="Arial" w:eastAsia="Times New Roman" w:hAnsi="Arial" w:cs="Arial"/>
          <w:color w:val="E36C0A" w:themeColor="accent6" w:themeShade="BF"/>
        </w:rPr>
        <w:t xml:space="preserve">As for comment #3, thank you for clarifying this issue. I did miss this notation during my review of the </w:t>
      </w:r>
      <w:proofErr w:type="spellStart"/>
      <w:r w:rsidRPr="00623D50">
        <w:rPr>
          <w:rFonts w:ascii="Arial" w:eastAsia="Times New Roman" w:hAnsi="Arial" w:cs="Arial"/>
          <w:color w:val="E36C0A" w:themeColor="accent6" w:themeShade="BF"/>
        </w:rPr>
        <w:t>planset</w:t>
      </w:r>
      <w:proofErr w:type="spellEnd"/>
      <w:r w:rsidRPr="00623D50">
        <w:rPr>
          <w:rFonts w:ascii="Arial" w:eastAsia="Times New Roman" w:hAnsi="Arial" w:cs="Arial"/>
          <w:color w:val="E36C0A" w:themeColor="accent6" w:themeShade="BF"/>
        </w:rPr>
        <w:t xml:space="preserve">. This comment may be </w:t>
      </w:r>
      <w:r w:rsidRPr="00623D50">
        <w:rPr>
          <w:rFonts w:ascii="Arial" w:eastAsia="Times New Roman" w:hAnsi="Arial" w:cs="Arial"/>
          <w:color w:val="E36C0A" w:themeColor="accent6" w:themeShade="BF"/>
          <w:highlight w:val="green"/>
        </w:rPr>
        <w:t>considered resolved.</w:t>
      </w:r>
    </w:p>
    <w:p w14:paraId="59AB21DD" w14:textId="77777777" w:rsidR="00F75661" w:rsidRDefault="00F75661" w:rsidP="00623D50">
      <w:pPr>
        <w:widowControl/>
        <w:shd w:val="clear" w:color="auto" w:fill="FFFFFF"/>
        <w:autoSpaceDE/>
        <w:autoSpaceDN/>
        <w:contextualSpacing/>
        <w:rPr>
          <w:rFonts w:ascii="Arial" w:eastAsia="Times New Roman" w:hAnsi="Arial" w:cs="Arial"/>
          <w:color w:val="E36C0A" w:themeColor="accent6" w:themeShade="BF"/>
        </w:rPr>
      </w:pPr>
    </w:p>
    <w:p w14:paraId="5D67F485" w14:textId="77777777" w:rsidR="00F75661" w:rsidRPr="00623D50" w:rsidRDefault="00F75661" w:rsidP="00623D50">
      <w:pPr>
        <w:widowControl/>
        <w:shd w:val="clear" w:color="auto" w:fill="FFFFFF"/>
        <w:autoSpaceDE/>
        <w:autoSpaceDN/>
        <w:contextualSpacing/>
        <w:rPr>
          <w:rFonts w:ascii="Arial" w:eastAsia="Times New Roman" w:hAnsi="Arial" w:cs="Arial"/>
          <w:color w:val="E36C0A" w:themeColor="accent6" w:themeShade="BF"/>
        </w:rPr>
      </w:pPr>
    </w:p>
    <w:p w14:paraId="2DAF81E7" w14:textId="77777777" w:rsidR="00623D50" w:rsidRDefault="00623D50" w:rsidP="00623D50">
      <w:pPr>
        <w:tabs>
          <w:tab w:val="left" w:pos="823"/>
        </w:tabs>
        <w:spacing w:before="1" w:line="276" w:lineRule="auto"/>
        <w:ind w:right="315"/>
      </w:pPr>
    </w:p>
    <w:p w14:paraId="2BA03790" w14:textId="77777777" w:rsidR="00210006" w:rsidRPr="00F75661" w:rsidRDefault="00000000">
      <w:pPr>
        <w:pStyle w:val="ListParagraph"/>
        <w:numPr>
          <w:ilvl w:val="0"/>
          <w:numId w:val="1"/>
        </w:numPr>
        <w:tabs>
          <w:tab w:val="left" w:pos="824"/>
        </w:tabs>
        <w:spacing w:line="266" w:lineRule="exact"/>
        <w:ind w:left="823" w:hanging="361"/>
      </w:pPr>
      <w:r>
        <w:rPr>
          <w:color w:val="4A392D"/>
          <w:w w:val="125"/>
        </w:rPr>
        <w:t>Please</w:t>
      </w:r>
      <w:r>
        <w:rPr>
          <w:color w:val="4A392D"/>
          <w:spacing w:val="-12"/>
          <w:w w:val="125"/>
        </w:rPr>
        <w:t xml:space="preserve"> </w:t>
      </w:r>
      <w:r>
        <w:rPr>
          <w:color w:val="4A392D"/>
          <w:w w:val="125"/>
        </w:rPr>
        <w:t>update</w:t>
      </w:r>
      <w:r>
        <w:rPr>
          <w:color w:val="4A392D"/>
          <w:spacing w:val="-12"/>
          <w:w w:val="125"/>
        </w:rPr>
        <w:t xml:space="preserve"> </w:t>
      </w:r>
      <w:r>
        <w:rPr>
          <w:color w:val="4A392D"/>
          <w:w w:val="125"/>
        </w:rPr>
        <w:t>the</w:t>
      </w:r>
      <w:r>
        <w:rPr>
          <w:color w:val="4A392D"/>
          <w:spacing w:val="-12"/>
          <w:w w:val="125"/>
        </w:rPr>
        <w:t xml:space="preserve"> </w:t>
      </w:r>
      <w:proofErr w:type="spellStart"/>
      <w:r>
        <w:rPr>
          <w:color w:val="4A392D"/>
          <w:w w:val="125"/>
        </w:rPr>
        <w:t>planset</w:t>
      </w:r>
      <w:proofErr w:type="spellEnd"/>
      <w:r>
        <w:rPr>
          <w:color w:val="4A392D"/>
          <w:spacing w:val="-13"/>
          <w:w w:val="125"/>
        </w:rPr>
        <w:t xml:space="preserve"> </w:t>
      </w:r>
      <w:r>
        <w:rPr>
          <w:color w:val="4A392D"/>
          <w:w w:val="125"/>
        </w:rPr>
        <w:t>to</w:t>
      </w:r>
      <w:r>
        <w:rPr>
          <w:color w:val="4A392D"/>
          <w:spacing w:val="-12"/>
          <w:w w:val="125"/>
        </w:rPr>
        <w:t xml:space="preserve"> </w:t>
      </w:r>
      <w:r>
        <w:rPr>
          <w:color w:val="4A392D"/>
          <w:w w:val="125"/>
        </w:rPr>
        <w:t>remain</w:t>
      </w:r>
      <w:r>
        <w:rPr>
          <w:color w:val="4A392D"/>
          <w:spacing w:val="-13"/>
          <w:w w:val="125"/>
        </w:rPr>
        <w:t xml:space="preserve"> </w:t>
      </w:r>
      <w:r>
        <w:rPr>
          <w:color w:val="4A392D"/>
          <w:w w:val="125"/>
        </w:rPr>
        <w:t>consistent</w:t>
      </w:r>
      <w:r>
        <w:rPr>
          <w:color w:val="4A392D"/>
          <w:spacing w:val="-13"/>
          <w:w w:val="125"/>
        </w:rPr>
        <w:t xml:space="preserve"> </w:t>
      </w:r>
      <w:r>
        <w:rPr>
          <w:color w:val="4A392D"/>
          <w:w w:val="125"/>
        </w:rPr>
        <w:t>with</w:t>
      </w:r>
      <w:r>
        <w:rPr>
          <w:color w:val="4A392D"/>
          <w:spacing w:val="-12"/>
          <w:w w:val="125"/>
        </w:rPr>
        <w:t xml:space="preserve"> </w:t>
      </w:r>
      <w:r>
        <w:rPr>
          <w:color w:val="4A392D"/>
          <w:w w:val="125"/>
        </w:rPr>
        <w:t>associated</w:t>
      </w:r>
      <w:r>
        <w:rPr>
          <w:color w:val="4A392D"/>
          <w:spacing w:val="-13"/>
          <w:w w:val="125"/>
        </w:rPr>
        <w:t xml:space="preserve"> </w:t>
      </w:r>
      <w:r>
        <w:rPr>
          <w:color w:val="4A392D"/>
          <w:w w:val="125"/>
        </w:rPr>
        <w:t>permit</w:t>
      </w:r>
      <w:r>
        <w:rPr>
          <w:color w:val="4A392D"/>
          <w:spacing w:val="-13"/>
          <w:w w:val="125"/>
        </w:rPr>
        <w:t xml:space="preserve"> </w:t>
      </w:r>
      <w:r>
        <w:rPr>
          <w:color w:val="4A392D"/>
          <w:w w:val="125"/>
        </w:rPr>
        <w:t>2508-232.</w:t>
      </w:r>
    </w:p>
    <w:p w14:paraId="483B9157" w14:textId="77777777" w:rsidR="00F75661" w:rsidRDefault="00F75661" w:rsidP="00F75661">
      <w:pPr>
        <w:tabs>
          <w:tab w:val="left" w:pos="824"/>
        </w:tabs>
        <w:spacing w:line="266" w:lineRule="exact"/>
      </w:pPr>
    </w:p>
    <w:p w14:paraId="603B94D0" w14:textId="77777777" w:rsidR="00F75661" w:rsidRPr="00623D50" w:rsidRDefault="00F75661" w:rsidP="00F75661">
      <w:pPr>
        <w:tabs>
          <w:tab w:val="left" w:pos="822"/>
          <w:tab w:val="left" w:pos="823"/>
        </w:tabs>
        <w:spacing w:line="276" w:lineRule="auto"/>
        <w:ind w:right="112"/>
        <w:rPr>
          <w:rFonts w:ascii="Arial" w:hAnsi="Arial" w:cs="Arial"/>
          <w:b/>
          <w:bCs/>
          <w:color w:val="0000FF"/>
        </w:rPr>
      </w:pPr>
      <w:r w:rsidRPr="00C37B5E">
        <w:rPr>
          <w:rFonts w:ascii="Arial" w:hAnsi="Arial" w:cs="Arial"/>
          <w:b/>
          <w:bCs/>
          <w:color w:val="0000FF"/>
          <w:u w:val="single"/>
        </w:rPr>
        <w:t>Applicant</w:t>
      </w:r>
      <w:r>
        <w:rPr>
          <w:rFonts w:ascii="Arial" w:hAnsi="Arial" w:cs="Arial"/>
          <w:b/>
          <w:bCs/>
          <w:color w:val="0000FF"/>
          <w:u w:val="single"/>
        </w:rPr>
        <w:t>’s Response 1</w:t>
      </w:r>
      <w:r w:rsidRPr="00F75661">
        <w:rPr>
          <w:rFonts w:ascii="Arial" w:hAnsi="Arial" w:cs="Arial"/>
          <w:b/>
          <w:bCs/>
          <w:color w:val="0000FF"/>
          <w:u w:val="single"/>
        </w:rPr>
        <w:t>/</w:t>
      </w:r>
      <w:r>
        <w:rPr>
          <w:rFonts w:ascii="Arial" w:hAnsi="Arial" w:cs="Arial"/>
          <w:b/>
          <w:bCs/>
          <w:color w:val="0000FF"/>
          <w:u w:val="single"/>
        </w:rPr>
        <w:t>7</w:t>
      </w:r>
      <w:r w:rsidRPr="00F75661">
        <w:rPr>
          <w:rFonts w:ascii="Arial" w:hAnsi="Arial" w:cs="Arial"/>
          <w:b/>
          <w:bCs/>
          <w:color w:val="0000FF"/>
          <w:u w:val="single"/>
        </w:rPr>
        <w:t>/2</w:t>
      </w:r>
      <w:r>
        <w:rPr>
          <w:rFonts w:ascii="Arial" w:hAnsi="Arial" w:cs="Arial"/>
          <w:b/>
          <w:bCs/>
          <w:color w:val="0000FF"/>
          <w:u w:val="single"/>
        </w:rPr>
        <w:t>026</w:t>
      </w:r>
      <w:r w:rsidRPr="00623D50">
        <w:rPr>
          <w:rFonts w:ascii="Arial" w:hAnsi="Arial" w:cs="Arial"/>
          <w:b/>
          <w:bCs/>
          <w:color w:val="0000FF"/>
        </w:rPr>
        <w:t>:</w:t>
      </w:r>
    </w:p>
    <w:p w14:paraId="68C8DA55" w14:textId="374B634F" w:rsidR="00F75661" w:rsidRDefault="00F75661" w:rsidP="00F75661">
      <w:pPr>
        <w:pStyle w:val="BodyText"/>
        <w:rPr>
          <w:sz w:val="26"/>
        </w:rPr>
      </w:pPr>
      <w:r>
        <w:rPr>
          <w:rFonts w:ascii="Arial" w:hAnsi="Arial" w:cs="Arial"/>
          <w:color w:val="0000FF"/>
        </w:rPr>
        <w:t xml:space="preserve">On 12/30/2026, we received comments from the buildering permit 2508-232, there are about 20 comments and we are working to resolve them. </w:t>
      </w:r>
      <w:r w:rsidR="00C44CC7">
        <w:rPr>
          <w:rFonts w:ascii="Arial" w:hAnsi="Arial" w:cs="Arial"/>
          <w:color w:val="0000FF"/>
        </w:rPr>
        <w:t xml:space="preserve">There will be some additional updates from this Plan Set Revision 1. We will keep you informed and ensure both review are consistent. </w:t>
      </w:r>
    </w:p>
    <w:p w14:paraId="7DB33D17" w14:textId="77777777" w:rsidR="00F75661" w:rsidRDefault="00F75661" w:rsidP="00F75661">
      <w:pPr>
        <w:tabs>
          <w:tab w:val="left" w:pos="824"/>
        </w:tabs>
        <w:spacing w:line="266" w:lineRule="exact"/>
      </w:pPr>
    </w:p>
    <w:p w14:paraId="3C804FAD" w14:textId="77777777" w:rsidR="00210006" w:rsidRDefault="00210006">
      <w:pPr>
        <w:pStyle w:val="BodyText"/>
        <w:spacing w:before="10"/>
      </w:pPr>
    </w:p>
    <w:p w14:paraId="217D7AD0" w14:textId="77777777" w:rsidR="00210006" w:rsidRDefault="00000000">
      <w:pPr>
        <w:pStyle w:val="BodyText"/>
        <w:spacing w:line="276" w:lineRule="auto"/>
        <w:ind w:left="463" w:right="344"/>
      </w:pPr>
      <w:r>
        <w:pict w14:anchorId="38950F22">
          <v:rect id="_x0000_s2050" style="position:absolute;left:0;text-align:left;margin-left:444.1pt;margin-top:57.65pt;width:2.4pt;height:.6pt;z-index:-251658240;mso-position-horizontal-relative:page" fillcolor="#4a392d" stroked="f">
            <w10:wrap anchorx="page"/>
          </v:rect>
        </w:pict>
      </w:r>
      <w:r>
        <w:rPr>
          <w:color w:val="4A392D"/>
          <w:w w:val="120"/>
        </w:rPr>
        <w:t xml:space="preserve">The City’s processing of the Accessory Dwelling Unit application has been put on hold until these issues are resolved. Pursuant to MICC </w:t>
      </w:r>
      <w:r>
        <w:rPr>
          <w:color w:val="4A392D"/>
          <w:w w:val="110"/>
        </w:rPr>
        <w:t xml:space="preserve">19.15.110, </w:t>
      </w:r>
      <w:r>
        <w:rPr>
          <w:color w:val="4A392D"/>
          <w:w w:val="120"/>
        </w:rPr>
        <w:t xml:space="preserve">all requested information must be submitted within 60 days or a request for extension requested. The deadline for a complete response or request for extension is </w:t>
      </w:r>
      <w:r>
        <w:rPr>
          <w:w w:val="120"/>
          <w:u w:val="single"/>
        </w:rPr>
        <w:t xml:space="preserve">January </w:t>
      </w:r>
      <w:r>
        <w:rPr>
          <w:w w:val="110"/>
          <w:u w:val="single"/>
        </w:rPr>
        <w:t xml:space="preserve">31, </w:t>
      </w:r>
      <w:r>
        <w:rPr>
          <w:w w:val="120"/>
          <w:u w:val="single"/>
        </w:rPr>
        <w:t>2026</w:t>
      </w:r>
      <w:r>
        <w:rPr>
          <w:color w:val="4A392D"/>
          <w:w w:val="120"/>
        </w:rPr>
        <w:t>. If a complete response is not received or an extension response has not been received prior to that date, the application will expire and be canceled for inactivity. No additional notification</w:t>
      </w:r>
      <w:r>
        <w:rPr>
          <w:color w:val="4A392D"/>
          <w:spacing w:val="10"/>
          <w:w w:val="120"/>
        </w:rPr>
        <w:t xml:space="preserve"> </w:t>
      </w:r>
      <w:r>
        <w:rPr>
          <w:color w:val="4A392D"/>
          <w:w w:val="120"/>
        </w:rPr>
        <w:t>regarding</w:t>
      </w:r>
      <w:r>
        <w:rPr>
          <w:color w:val="4A392D"/>
          <w:spacing w:val="8"/>
          <w:w w:val="120"/>
        </w:rPr>
        <w:t xml:space="preserve"> </w:t>
      </w:r>
      <w:r>
        <w:rPr>
          <w:color w:val="4A392D"/>
          <w:w w:val="120"/>
        </w:rPr>
        <w:t>this</w:t>
      </w:r>
      <w:r>
        <w:rPr>
          <w:color w:val="4A392D"/>
          <w:spacing w:val="10"/>
          <w:w w:val="120"/>
        </w:rPr>
        <w:t xml:space="preserve"> </w:t>
      </w:r>
      <w:r>
        <w:rPr>
          <w:color w:val="4A392D"/>
          <w:w w:val="120"/>
        </w:rPr>
        <w:t>deadline</w:t>
      </w:r>
      <w:r>
        <w:rPr>
          <w:color w:val="4A392D"/>
          <w:spacing w:val="12"/>
          <w:w w:val="120"/>
        </w:rPr>
        <w:t xml:space="preserve"> </w:t>
      </w:r>
      <w:r>
        <w:rPr>
          <w:color w:val="4A392D"/>
          <w:w w:val="120"/>
        </w:rPr>
        <w:t>or</w:t>
      </w:r>
      <w:r>
        <w:rPr>
          <w:color w:val="4A392D"/>
          <w:spacing w:val="7"/>
          <w:w w:val="120"/>
        </w:rPr>
        <w:t xml:space="preserve"> </w:t>
      </w:r>
      <w:r>
        <w:rPr>
          <w:color w:val="4A392D"/>
          <w:w w:val="120"/>
        </w:rPr>
        <w:t>expiration</w:t>
      </w:r>
      <w:r>
        <w:rPr>
          <w:color w:val="4A392D"/>
          <w:spacing w:val="11"/>
          <w:w w:val="120"/>
        </w:rPr>
        <w:t xml:space="preserve"> </w:t>
      </w:r>
      <w:r>
        <w:rPr>
          <w:color w:val="4A392D"/>
          <w:w w:val="120"/>
        </w:rPr>
        <w:t>of</w:t>
      </w:r>
      <w:r>
        <w:rPr>
          <w:color w:val="4A392D"/>
          <w:spacing w:val="10"/>
          <w:w w:val="120"/>
        </w:rPr>
        <w:t xml:space="preserve"> </w:t>
      </w:r>
      <w:r>
        <w:rPr>
          <w:color w:val="4A392D"/>
          <w:w w:val="120"/>
        </w:rPr>
        <w:t>the</w:t>
      </w:r>
      <w:r>
        <w:rPr>
          <w:color w:val="4A392D"/>
          <w:spacing w:val="12"/>
          <w:w w:val="120"/>
        </w:rPr>
        <w:t xml:space="preserve"> </w:t>
      </w:r>
      <w:r>
        <w:rPr>
          <w:color w:val="4A392D"/>
          <w:w w:val="120"/>
        </w:rPr>
        <w:t>application</w:t>
      </w:r>
      <w:r>
        <w:rPr>
          <w:color w:val="4A392D"/>
          <w:spacing w:val="10"/>
          <w:w w:val="120"/>
        </w:rPr>
        <w:t xml:space="preserve"> </w:t>
      </w:r>
      <w:r>
        <w:rPr>
          <w:color w:val="4A392D"/>
          <w:w w:val="120"/>
        </w:rPr>
        <w:t>will</w:t>
      </w:r>
      <w:r>
        <w:rPr>
          <w:color w:val="4A392D"/>
          <w:spacing w:val="11"/>
          <w:w w:val="120"/>
        </w:rPr>
        <w:t xml:space="preserve"> </w:t>
      </w:r>
      <w:r>
        <w:rPr>
          <w:color w:val="4A392D"/>
          <w:w w:val="120"/>
        </w:rPr>
        <w:t>be</w:t>
      </w:r>
      <w:r>
        <w:rPr>
          <w:color w:val="4A392D"/>
          <w:spacing w:val="12"/>
          <w:w w:val="120"/>
        </w:rPr>
        <w:t xml:space="preserve"> </w:t>
      </w:r>
      <w:r>
        <w:rPr>
          <w:color w:val="4A392D"/>
          <w:w w:val="120"/>
        </w:rPr>
        <w:t>provided.</w:t>
      </w:r>
    </w:p>
    <w:p w14:paraId="29D488F7" w14:textId="77777777" w:rsidR="00F75661" w:rsidRDefault="00F75661" w:rsidP="00F75661">
      <w:pPr>
        <w:tabs>
          <w:tab w:val="left" w:pos="822"/>
          <w:tab w:val="left" w:pos="823"/>
        </w:tabs>
        <w:spacing w:line="276" w:lineRule="auto"/>
        <w:ind w:right="112"/>
        <w:rPr>
          <w:rFonts w:ascii="Arial" w:hAnsi="Arial" w:cs="Arial"/>
          <w:b/>
          <w:bCs/>
          <w:color w:val="0000FF"/>
          <w:u w:val="single"/>
        </w:rPr>
      </w:pPr>
    </w:p>
    <w:p w14:paraId="74A03C6B" w14:textId="77777777" w:rsidR="00210006" w:rsidRDefault="00000000">
      <w:pPr>
        <w:pStyle w:val="BodyText"/>
        <w:spacing w:before="228"/>
        <w:ind w:left="103"/>
      </w:pPr>
      <w:r>
        <w:rPr>
          <w:color w:val="4A392D"/>
          <w:w w:val="120"/>
        </w:rPr>
        <w:t>Sincerely,</w:t>
      </w:r>
    </w:p>
    <w:p w14:paraId="423ACF14" w14:textId="77777777" w:rsidR="00210006" w:rsidRDefault="00000000">
      <w:pPr>
        <w:spacing w:before="36"/>
        <w:ind w:left="103"/>
        <w:rPr>
          <w:rFonts w:ascii="Brush Script MT"/>
          <w:i/>
          <w:sz w:val="56"/>
        </w:rPr>
      </w:pPr>
      <w:r>
        <w:rPr>
          <w:rFonts w:ascii="Brush Script MT"/>
          <w:i/>
          <w:color w:val="4A392D"/>
          <w:sz w:val="56"/>
        </w:rPr>
        <w:t>Madelyn Nelson</w:t>
      </w:r>
    </w:p>
    <w:p w14:paraId="652715FE" w14:textId="77777777" w:rsidR="00210006" w:rsidRDefault="00000000">
      <w:pPr>
        <w:pStyle w:val="BodyText"/>
        <w:spacing w:before="108"/>
        <w:ind w:left="103"/>
      </w:pPr>
      <w:r>
        <w:rPr>
          <w:color w:val="4A392D"/>
          <w:w w:val="125"/>
        </w:rPr>
        <w:t>Madelyn Nelson, Assistant Planner</w:t>
      </w:r>
    </w:p>
    <w:p w14:paraId="2783A869" w14:textId="77777777" w:rsidR="00210006" w:rsidRDefault="00000000">
      <w:pPr>
        <w:pStyle w:val="BodyText"/>
        <w:spacing w:before="39" w:line="276" w:lineRule="auto"/>
        <w:ind w:left="103" w:right="1535"/>
      </w:pPr>
      <w:r>
        <w:rPr>
          <w:color w:val="4A392D"/>
          <w:w w:val="125"/>
        </w:rPr>
        <w:lastRenderedPageBreak/>
        <w:t xml:space="preserve">City of Mercer Island Community Planning and Development </w:t>
      </w:r>
      <w:hyperlink r:id="rId13">
        <w:r w:rsidR="00210006">
          <w:rPr>
            <w:color w:val="0000FF"/>
            <w:w w:val="125"/>
            <w:u w:val="single" w:color="0000FF"/>
          </w:rPr>
          <w:t>madelyn.nelson@mercerisland.gov</w:t>
        </w:r>
      </w:hyperlink>
    </w:p>
    <w:p w14:paraId="00E096A5" w14:textId="77777777" w:rsidR="00210006" w:rsidRDefault="00000000">
      <w:pPr>
        <w:pStyle w:val="BodyText"/>
        <w:spacing w:line="268" w:lineRule="exact"/>
        <w:ind w:left="103"/>
      </w:pPr>
      <w:r>
        <w:rPr>
          <w:color w:val="4A392D"/>
          <w:w w:val="120"/>
        </w:rPr>
        <w:t>(206) 275-7704</w:t>
      </w:r>
    </w:p>
    <w:p w14:paraId="42FFEAE5" w14:textId="77777777" w:rsidR="00210006" w:rsidRDefault="00210006">
      <w:pPr>
        <w:pStyle w:val="BodyText"/>
        <w:rPr>
          <w:sz w:val="26"/>
        </w:rPr>
      </w:pPr>
    </w:p>
    <w:p w14:paraId="6EE31A72" w14:textId="77777777" w:rsidR="00210006" w:rsidRDefault="00210006">
      <w:pPr>
        <w:pStyle w:val="BodyText"/>
        <w:spacing w:before="10"/>
        <w:rPr>
          <w:sz w:val="27"/>
        </w:rPr>
      </w:pPr>
    </w:p>
    <w:p w14:paraId="197A891E" w14:textId="77777777" w:rsidR="00210006" w:rsidRDefault="00000000">
      <w:pPr>
        <w:pStyle w:val="Heading1"/>
        <w:ind w:left="102"/>
      </w:pPr>
      <w:r>
        <w:rPr>
          <w:color w:val="4A392D"/>
          <w:w w:val="125"/>
        </w:rPr>
        <w:t xml:space="preserve">Responding and Resubmitting: </w:t>
      </w:r>
      <w:hyperlink r:id="rId14">
        <w:r w:rsidR="00210006">
          <w:rPr>
            <w:color w:val="0000FF"/>
            <w:w w:val="125"/>
            <w:u w:val="single" w:color="0000FF"/>
          </w:rPr>
          <w:t>Click for More Detailed Instructions</w:t>
        </w:r>
      </w:hyperlink>
    </w:p>
    <w:p w14:paraId="0CEB0790" w14:textId="77777777" w:rsidR="00210006" w:rsidRDefault="00000000">
      <w:pPr>
        <w:pStyle w:val="ListParagraph"/>
        <w:numPr>
          <w:ilvl w:val="1"/>
          <w:numId w:val="1"/>
        </w:numPr>
        <w:tabs>
          <w:tab w:val="left" w:pos="1183"/>
          <w:tab w:val="left" w:pos="1184"/>
        </w:tabs>
        <w:spacing w:before="39"/>
        <w:ind w:hanging="361"/>
      </w:pPr>
      <w:r>
        <w:rPr>
          <w:color w:val="4A392D"/>
          <w:w w:val="120"/>
        </w:rPr>
        <w:t>Reply to all review comments within the correction</w:t>
      </w:r>
      <w:r>
        <w:rPr>
          <w:color w:val="4A392D"/>
          <w:spacing w:val="-3"/>
          <w:w w:val="120"/>
        </w:rPr>
        <w:t xml:space="preserve"> </w:t>
      </w:r>
      <w:r>
        <w:rPr>
          <w:color w:val="4A392D"/>
          <w:w w:val="120"/>
        </w:rPr>
        <w:t>letter.</w:t>
      </w:r>
    </w:p>
    <w:p w14:paraId="2F8DD39D" w14:textId="77777777" w:rsidR="00210006" w:rsidRDefault="00000000">
      <w:pPr>
        <w:pStyle w:val="ListParagraph"/>
        <w:numPr>
          <w:ilvl w:val="1"/>
          <w:numId w:val="1"/>
        </w:numPr>
        <w:tabs>
          <w:tab w:val="left" w:pos="1184"/>
        </w:tabs>
        <w:spacing w:before="41"/>
        <w:ind w:hanging="361"/>
      </w:pPr>
      <w:r>
        <w:rPr>
          <w:color w:val="4A392D"/>
          <w:w w:val="125"/>
        </w:rPr>
        <w:t>Update</w:t>
      </w:r>
      <w:r>
        <w:rPr>
          <w:color w:val="4A392D"/>
          <w:spacing w:val="-13"/>
          <w:w w:val="125"/>
        </w:rPr>
        <w:t xml:space="preserve"> </w:t>
      </w:r>
      <w:r>
        <w:rPr>
          <w:color w:val="4A392D"/>
          <w:w w:val="125"/>
        </w:rPr>
        <w:t>your</w:t>
      </w:r>
      <w:r>
        <w:rPr>
          <w:color w:val="4A392D"/>
          <w:spacing w:val="-13"/>
          <w:w w:val="125"/>
        </w:rPr>
        <w:t xml:space="preserve"> </w:t>
      </w:r>
      <w:r>
        <w:rPr>
          <w:color w:val="4A392D"/>
          <w:w w:val="125"/>
        </w:rPr>
        <w:t>drawings,</w:t>
      </w:r>
      <w:r>
        <w:rPr>
          <w:color w:val="4A392D"/>
          <w:spacing w:val="-12"/>
          <w:w w:val="125"/>
        </w:rPr>
        <w:t xml:space="preserve"> </w:t>
      </w:r>
      <w:r>
        <w:rPr>
          <w:color w:val="4A392D"/>
          <w:w w:val="125"/>
        </w:rPr>
        <w:t>and</w:t>
      </w:r>
      <w:r>
        <w:rPr>
          <w:color w:val="4A392D"/>
          <w:spacing w:val="-14"/>
          <w:w w:val="125"/>
        </w:rPr>
        <w:t xml:space="preserve"> </w:t>
      </w:r>
      <w:r>
        <w:rPr>
          <w:color w:val="4A392D"/>
          <w:w w:val="125"/>
        </w:rPr>
        <w:t>any</w:t>
      </w:r>
      <w:r>
        <w:rPr>
          <w:color w:val="4A392D"/>
          <w:spacing w:val="-13"/>
          <w:w w:val="125"/>
        </w:rPr>
        <w:t xml:space="preserve"> </w:t>
      </w:r>
      <w:r>
        <w:rPr>
          <w:color w:val="4A392D"/>
          <w:w w:val="125"/>
        </w:rPr>
        <w:t>necessary</w:t>
      </w:r>
      <w:r>
        <w:rPr>
          <w:color w:val="4A392D"/>
          <w:spacing w:val="-12"/>
          <w:w w:val="125"/>
        </w:rPr>
        <w:t xml:space="preserve"> </w:t>
      </w:r>
      <w:r>
        <w:rPr>
          <w:color w:val="4A392D"/>
          <w:w w:val="125"/>
        </w:rPr>
        <w:t>supplemental</w:t>
      </w:r>
      <w:r>
        <w:rPr>
          <w:color w:val="4A392D"/>
          <w:spacing w:val="-13"/>
          <w:w w:val="125"/>
        </w:rPr>
        <w:t xml:space="preserve"> </w:t>
      </w:r>
      <w:r>
        <w:rPr>
          <w:color w:val="4A392D"/>
          <w:w w:val="125"/>
        </w:rPr>
        <w:t>documents</w:t>
      </w:r>
      <w:r>
        <w:rPr>
          <w:color w:val="4A392D"/>
          <w:spacing w:val="-14"/>
          <w:w w:val="125"/>
        </w:rPr>
        <w:t xml:space="preserve"> </w:t>
      </w:r>
      <w:r>
        <w:rPr>
          <w:color w:val="4A392D"/>
          <w:w w:val="125"/>
        </w:rPr>
        <w:t>or</w:t>
      </w:r>
      <w:r>
        <w:rPr>
          <w:color w:val="4A392D"/>
          <w:spacing w:val="-12"/>
          <w:w w:val="125"/>
        </w:rPr>
        <w:t xml:space="preserve"> </w:t>
      </w:r>
      <w:r>
        <w:rPr>
          <w:color w:val="4A392D"/>
          <w:w w:val="125"/>
        </w:rPr>
        <w:t>forms.</w:t>
      </w:r>
    </w:p>
    <w:p w14:paraId="6EFBFFA1" w14:textId="77777777" w:rsidR="00210006" w:rsidRDefault="00000000">
      <w:pPr>
        <w:pStyle w:val="ListParagraph"/>
        <w:numPr>
          <w:ilvl w:val="1"/>
          <w:numId w:val="1"/>
        </w:numPr>
        <w:tabs>
          <w:tab w:val="left" w:pos="1184"/>
        </w:tabs>
        <w:spacing w:before="39"/>
        <w:ind w:hanging="361"/>
      </w:pPr>
      <w:r>
        <w:rPr>
          <w:color w:val="4A392D"/>
          <w:w w:val="125"/>
        </w:rPr>
        <w:t>Upload</w:t>
      </w:r>
      <w:r>
        <w:rPr>
          <w:color w:val="4A392D"/>
          <w:spacing w:val="-12"/>
          <w:w w:val="125"/>
        </w:rPr>
        <w:t xml:space="preserve"> </w:t>
      </w:r>
      <w:r>
        <w:rPr>
          <w:color w:val="4A392D"/>
          <w:w w:val="125"/>
        </w:rPr>
        <w:t>updated</w:t>
      </w:r>
      <w:r>
        <w:rPr>
          <w:color w:val="4A392D"/>
          <w:spacing w:val="-11"/>
          <w:w w:val="125"/>
        </w:rPr>
        <w:t xml:space="preserve"> </w:t>
      </w:r>
      <w:r>
        <w:rPr>
          <w:color w:val="4A392D"/>
          <w:w w:val="125"/>
        </w:rPr>
        <w:t>drawings</w:t>
      </w:r>
      <w:r>
        <w:rPr>
          <w:color w:val="4A392D"/>
          <w:spacing w:val="-11"/>
          <w:w w:val="125"/>
        </w:rPr>
        <w:t xml:space="preserve"> </w:t>
      </w:r>
      <w:r>
        <w:rPr>
          <w:color w:val="4A392D"/>
          <w:w w:val="125"/>
        </w:rPr>
        <w:t>to</w:t>
      </w:r>
      <w:r>
        <w:rPr>
          <w:color w:val="4A392D"/>
          <w:spacing w:val="-10"/>
          <w:w w:val="125"/>
        </w:rPr>
        <w:t xml:space="preserve"> </w:t>
      </w:r>
      <w:r>
        <w:rPr>
          <w:color w:val="4A392D"/>
          <w:w w:val="125"/>
        </w:rPr>
        <w:t>the</w:t>
      </w:r>
      <w:r>
        <w:rPr>
          <w:color w:val="0000FF"/>
          <w:spacing w:val="-12"/>
          <w:w w:val="125"/>
        </w:rPr>
        <w:t xml:space="preserve"> </w:t>
      </w:r>
      <w:hyperlink r:id="rId15">
        <w:r w:rsidR="00210006">
          <w:rPr>
            <w:color w:val="0000FF"/>
            <w:w w:val="125"/>
            <w:u w:val="single" w:color="0000FF"/>
          </w:rPr>
          <w:t>Mercer</w:t>
        </w:r>
        <w:r w:rsidR="00210006">
          <w:rPr>
            <w:color w:val="0000FF"/>
            <w:spacing w:val="-10"/>
            <w:w w:val="125"/>
            <w:u w:val="single" w:color="0000FF"/>
          </w:rPr>
          <w:t xml:space="preserve"> </w:t>
        </w:r>
        <w:r w:rsidR="00210006">
          <w:rPr>
            <w:color w:val="0000FF"/>
            <w:w w:val="125"/>
            <w:u w:val="single" w:color="0000FF"/>
          </w:rPr>
          <w:t>Island</w:t>
        </w:r>
        <w:r w:rsidR="00210006">
          <w:rPr>
            <w:color w:val="0000FF"/>
            <w:spacing w:val="-11"/>
            <w:w w:val="125"/>
            <w:u w:val="single" w:color="0000FF"/>
          </w:rPr>
          <w:t xml:space="preserve"> </w:t>
        </w:r>
        <w:r w:rsidR="00210006">
          <w:rPr>
            <w:color w:val="0000FF"/>
            <w:w w:val="125"/>
            <w:u w:val="single" w:color="0000FF"/>
          </w:rPr>
          <w:t>Permit</w:t>
        </w:r>
        <w:r w:rsidR="00210006">
          <w:rPr>
            <w:color w:val="0000FF"/>
            <w:spacing w:val="-11"/>
            <w:w w:val="125"/>
            <w:u w:val="single" w:color="0000FF"/>
          </w:rPr>
          <w:t xml:space="preserve"> </w:t>
        </w:r>
        <w:r w:rsidR="00210006">
          <w:rPr>
            <w:color w:val="0000FF"/>
            <w:w w:val="125"/>
            <w:u w:val="single" w:color="0000FF"/>
          </w:rPr>
          <w:t>Submittal</w:t>
        </w:r>
        <w:r w:rsidR="00210006">
          <w:rPr>
            <w:color w:val="0000FF"/>
            <w:spacing w:val="-10"/>
            <w:w w:val="125"/>
            <w:u w:val="single" w:color="0000FF"/>
          </w:rPr>
          <w:t xml:space="preserve"> </w:t>
        </w:r>
        <w:r w:rsidR="00210006">
          <w:rPr>
            <w:color w:val="0000FF"/>
            <w:w w:val="125"/>
            <w:u w:val="single" w:color="0000FF"/>
          </w:rPr>
          <w:t>Portal</w:t>
        </w:r>
        <w:r w:rsidR="00210006">
          <w:rPr>
            <w:color w:val="4A392D"/>
            <w:w w:val="125"/>
          </w:rPr>
          <w:t>.</w:t>
        </w:r>
      </w:hyperlink>
    </w:p>
    <w:p w14:paraId="548ABC46" w14:textId="77777777" w:rsidR="00210006" w:rsidRDefault="00000000">
      <w:pPr>
        <w:pStyle w:val="Heading1"/>
        <w:spacing w:before="41"/>
      </w:pPr>
      <w:r>
        <w:rPr>
          <w:color w:val="4A392D"/>
          <w:w w:val="125"/>
        </w:rPr>
        <w:t>Having Trouble? Please Review the Following:</w:t>
      </w:r>
    </w:p>
    <w:p w14:paraId="69659BC6" w14:textId="77777777" w:rsidR="00210006" w:rsidRDefault="00210006">
      <w:pPr>
        <w:pStyle w:val="BodyText"/>
        <w:spacing w:before="38" w:line="276" w:lineRule="auto"/>
        <w:ind w:left="909" w:right="1535" w:hanging="807"/>
      </w:pPr>
      <w:hyperlink r:id="rId16">
        <w:r>
          <w:rPr>
            <w:color w:val="0000FF"/>
            <w:w w:val="125"/>
            <w:u w:val="single" w:color="0000FF"/>
          </w:rPr>
          <w:t xml:space="preserve">Accessing, Reviewing, and Responding to </w:t>
        </w:r>
        <w:proofErr w:type="spellStart"/>
        <w:r>
          <w:rPr>
            <w:color w:val="0000FF"/>
            <w:w w:val="125"/>
            <w:u w:val="single" w:color="0000FF"/>
          </w:rPr>
          <w:t>MIePlan</w:t>
        </w:r>
        <w:proofErr w:type="spellEnd"/>
        <w:r>
          <w:rPr>
            <w:color w:val="0000FF"/>
            <w:w w:val="125"/>
            <w:u w:val="single" w:color="0000FF"/>
          </w:rPr>
          <w:t xml:space="preserve"> Comments</w:t>
        </w:r>
      </w:hyperlink>
      <w:r>
        <w:rPr>
          <w:color w:val="0000FF"/>
          <w:w w:val="125"/>
        </w:rPr>
        <w:t xml:space="preserve"> </w:t>
      </w:r>
      <w:hyperlink r:id="rId17">
        <w:r>
          <w:rPr>
            <w:color w:val="0000FF"/>
            <w:w w:val="125"/>
            <w:u w:val="single" w:color="0000FF"/>
          </w:rPr>
          <w:t xml:space="preserve">Troubleshooting </w:t>
        </w:r>
        <w:proofErr w:type="spellStart"/>
        <w:r>
          <w:rPr>
            <w:color w:val="0000FF"/>
            <w:w w:val="125"/>
            <w:u w:val="single" w:color="0000FF"/>
          </w:rPr>
          <w:t>MIePlan</w:t>
        </w:r>
        <w:proofErr w:type="spellEnd"/>
      </w:hyperlink>
    </w:p>
    <w:p w14:paraId="7A15ECAB" w14:textId="77777777" w:rsidR="00210006" w:rsidRDefault="00210006">
      <w:pPr>
        <w:pStyle w:val="BodyText"/>
        <w:spacing w:line="268" w:lineRule="exact"/>
        <w:ind w:left="909"/>
      </w:pPr>
      <w:hyperlink r:id="rId18">
        <w:proofErr w:type="spellStart"/>
        <w:r>
          <w:rPr>
            <w:color w:val="0000FF"/>
            <w:w w:val="120"/>
            <w:u w:val="single" w:color="0000FF"/>
          </w:rPr>
          <w:t>MIePlan</w:t>
        </w:r>
        <w:proofErr w:type="spellEnd"/>
        <w:r>
          <w:rPr>
            <w:color w:val="0000FF"/>
            <w:w w:val="120"/>
            <w:u w:val="single" w:color="0000FF"/>
          </w:rPr>
          <w:t xml:space="preserve"> Overview</w:t>
        </w:r>
      </w:hyperlink>
    </w:p>
    <w:p w14:paraId="362551FC" w14:textId="77777777" w:rsidR="00210006" w:rsidRDefault="00000000">
      <w:pPr>
        <w:pStyle w:val="Heading1"/>
        <w:spacing w:before="41"/>
      </w:pPr>
      <w:r>
        <w:rPr>
          <w:color w:val="4A392D"/>
          <w:w w:val="125"/>
        </w:rPr>
        <w:t xml:space="preserve">Thank you for your participation in the </w:t>
      </w:r>
      <w:proofErr w:type="spellStart"/>
      <w:r>
        <w:rPr>
          <w:color w:val="4A392D"/>
          <w:w w:val="125"/>
        </w:rPr>
        <w:t>MIePlan</w:t>
      </w:r>
      <w:proofErr w:type="spellEnd"/>
      <w:r>
        <w:rPr>
          <w:color w:val="4A392D"/>
          <w:w w:val="125"/>
        </w:rPr>
        <w:t xml:space="preserve"> review process.</w:t>
      </w:r>
    </w:p>
    <w:sectPr w:rsidR="00210006">
      <w:pgSz w:w="12240" w:h="15840"/>
      <w:pgMar w:top="380" w:right="1020" w:bottom="920" w:left="102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A590" w14:textId="77777777" w:rsidR="00A36C3F" w:rsidRDefault="00A36C3F">
      <w:r>
        <w:separator/>
      </w:r>
    </w:p>
  </w:endnote>
  <w:endnote w:type="continuationSeparator" w:id="0">
    <w:p w14:paraId="56649CBF" w14:textId="77777777" w:rsidR="00A36C3F" w:rsidRDefault="00A3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36C2" w14:textId="3AEE5A59" w:rsidR="00210006" w:rsidRDefault="00000000">
    <w:pPr>
      <w:pStyle w:val="BodyText"/>
      <w:spacing w:line="14" w:lineRule="auto"/>
      <w:rPr>
        <w:sz w:val="20"/>
      </w:rPr>
    </w:pPr>
    <w:r>
      <w:pict w14:anchorId="526C1923">
        <v:shapetype id="_x0000_t202" coordsize="21600,21600" o:spt="202" path="m,l,21600r21600,l21600,xe">
          <v:stroke joinstyle="miter"/>
          <v:path gradientshapeok="t" o:connecttype="rect"/>
        </v:shapetype>
        <v:shape id="_x0000_s1025" type="#_x0000_t202" style="position:absolute;margin-left:55.15pt;margin-top:744pt;width:398pt;height:13pt;z-index:-251658752;mso-position-horizontal-relative:page;mso-position-vertical-relative:page" filled="f" stroked="f">
          <v:textbox inset="0,0,0,0">
            <w:txbxContent>
              <w:p w14:paraId="180D2DC8" w14:textId="77777777" w:rsidR="00210006" w:rsidRDefault="00000000">
                <w:pPr>
                  <w:spacing w:before="23"/>
                  <w:ind w:left="20"/>
                  <w:rPr>
                    <w:sz w:val="18"/>
                  </w:rPr>
                </w:pPr>
                <w:r>
                  <w:rPr>
                    <w:color w:val="414042"/>
                    <w:w w:val="115"/>
                    <w:sz w:val="18"/>
                  </w:rPr>
                  <w:t>9611 SE 36th Street, Mercer Island, WA 98040 / (206) 275</w:t>
                </w:r>
                <w:r>
                  <w:rPr>
                    <w:rFonts w:ascii="Cambria Math" w:hAnsi="Cambria Math"/>
                    <w:color w:val="414042"/>
                    <w:w w:val="115"/>
                    <w:sz w:val="18"/>
                  </w:rPr>
                  <w:t>‑</w:t>
                </w:r>
                <w:r>
                  <w:rPr>
                    <w:color w:val="414042"/>
                    <w:w w:val="115"/>
                    <w:sz w:val="18"/>
                  </w:rPr>
                  <w:t xml:space="preserve">7600 / </w:t>
                </w:r>
                <w:hyperlink r:id="rId1">
                  <w:r w:rsidR="00210006">
                    <w:rPr>
                      <w:color w:val="414042"/>
                      <w:w w:val="115"/>
                      <w:sz w:val="18"/>
                    </w:rPr>
                    <w:t>www.mercerisland.gov</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0332" w14:textId="77777777" w:rsidR="00A36C3F" w:rsidRDefault="00A36C3F">
      <w:r>
        <w:separator/>
      </w:r>
    </w:p>
  </w:footnote>
  <w:footnote w:type="continuationSeparator" w:id="0">
    <w:p w14:paraId="088699F8" w14:textId="77777777" w:rsidR="00A36C3F" w:rsidRDefault="00A3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AE42" w14:textId="2972FA05" w:rsidR="00210006" w:rsidRDefault="0021000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637"/>
    <w:multiLevelType w:val="hybridMultilevel"/>
    <w:tmpl w:val="13482266"/>
    <w:lvl w:ilvl="0" w:tplc="E990D5C2">
      <w:start w:val="1"/>
      <w:numFmt w:val="decimal"/>
      <w:lvlText w:val="%1."/>
      <w:lvlJc w:val="left"/>
      <w:pPr>
        <w:ind w:left="822" w:hanging="360"/>
        <w:jc w:val="left"/>
      </w:pPr>
      <w:rPr>
        <w:rFonts w:ascii="Calibri" w:eastAsia="Calibri" w:hAnsi="Calibri" w:cs="Calibri" w:hint="default"/>
        <w:color w:val="4A392D"/>
        <w:spacing w:val="-1"/>
        <w:w w:val="75"/>
        <w:sz w:val="22"/>
        <w:szCs w:val="22"/>
        <w:lang w:val="en-US" w:eastAsia="en-US" w:bidi="en-US"/>
      </w:rPr>
    </w:lvl>
    <w:lvl w:ilvl="1" w:tplc="2D8E0EC2">
      <w:start w:val="1"/>
      <w:numFmt w:val="decimal"/>
      <w:lvlText w:val="%2."/>
      <w:lvlJc w:val="left"/>
      <w:pPr>
        <w:ind w:left="1183" w:hanging="360"/>
        <w:jc w:val="left"/>
      </w:pPr>
      <w:rPr>
        <w:rFonts w:ascii="Calibri" w:eastAsia="Calibri" w:hAnsi="Calibri" w:cs="Calibri" w:hint="default"/>
        <w:color w:val="4A392D"/>
        <w:spacing w:val="-1"/>
        <w:w w:val="75"/>
        <w:sz w:val="22"/>
        <w:szCs w:val="22"/>
        <w:lang w:val="en-US" w:eastAsia="en-US" w:bidi="en-US"/>
      </w:rPr>
    </w:lvl>
    <w:lvl w:ilvl="2" w:tplc="8D9889B0">
      <w:numFmt w:val="bullet"/>
      <w:lvlText w:val="•"/>
      <w:lvlJc w:val="left"/>
      <w:pPr>
        <w:ind w:left="2182" w:hanging="360"/>
      </w:pPr>
      <w:rPr>
        <w:rFonts w:hint="default"/>
        <w:lang w:val="en-US" w:eastAsia="en-US" w:bidi="en-US"/>
      </w:rPr>
    </w:lvl>
    <w:lvl w:ilvl="3" w:tplc="C080701E">
      <w:numFmt w:val="bullet"/>
      <w:lvlText w:val="•"/>
      <w:lvlJc w:val="left"/>
      <w:pPr>
        <w:ind w:left="3184" w:hanging="360"/>
      </w:pPr>
      <w:rPr>
        <w:rFonts w:hint="default"/>
        <w:lang w:val="en-US" w:eastAsia="en-US" w:bidi="en-US"/>
      </w:rPr>
    </w:lvl>
    <w:lvl w:ilvl="4" w:tplc="A170DE2C">
      <w:numFmt w:val="bullet"/>
      <w:lvlText w:val="•"/>
      <w:lvlJc w:val="left"/>
      <w:pPr>
        <w:ind w:left="4186" w:hanging="360"/>
      </w:pPr>
      <w:rPr>
        <w:rFonts w:hint="default"/>
        <w:lang w:val="en-US" w:eastAsia="en-US" w:bidi="en-US"/>
      </w:rPr>
    </w:lvl>
    <w:lvl w:ilvl="5" w:tplc="D20CAF6E">
      <w:numFmt w:val="bullet"/>
      <w:lvlText w:val="•"/>
      <w:lvlJc w:val="left"/>
      <w:pPr>
        <w:ind w:left="5188" w:hanging="360"/>
      </w:pPr>
      <w:rPr>
        <w:rFonts w:hint="default"/>
        <w:lang w:val="en-US" w:eastAsia="en-US" w:bidi="en-US"/>
      </w:rPr>
    </w:lvl>
    <w:lvl w:ilvl="6" w:tplc="7BF87FE2">
      <w:numFmt w:val="bullet"/>
      <w:lvlText w:val="•"/>
      <w:lvlJc w:val="left"/>
      <w:pPr>
        <w:ind w:left="6191" w:hanging="360"/>
      </w:pPr>
      <w:rPr>
        <w:rFonts w:hint="default"/>
        <w:lang w:val="en-US" w:eastAsia="en-US" w:bidi="en-US"/>
      </w:rPr>
    </w:lvl>
    <w:lvl w:ilvl="7" w:tplc="A3324590">
      <w:numFmt w:val="bullet"/>
      <w:lvlText w:val="•"/>
      <w:lvlJc w:val="left"/>
      <w:pPr>
        <w:ind w:left="7193" w:hanging="360"/>
      </w:pPr>
      <w:rPr>
        <w:rFonts w:hint="default"/>
        <w:lang w:val="en-US" w:eastAsia="en-US" w:bidi="en-US"/>
      </w:rPr>
    </w:lvl>
    <w:lvl w:ilvl="8" w:tplc="0390ED5C">
      <w:numFmt w:val="bullet"/>
      <w:lvlText w:val="•"/>
      <w:lvlJc w:val="left"/>
      <w:pPr>
        <w:ind w:left="8195" w:hanging="360"/>
      </w:pPr>
      <w:rPr>
        <w:rFonts w:hint="default"/>
        <w:lang w:val="en-US" w:eastAsia="en-US" w:bidi="en-US"/>
      </w:rPr>
    </w:lvl>
  </w:abstractNum>
  <w:abstractNum w:abstractNumId="1" w15:restartNumberingAfterBreak="0">
    <w:nsid w:val="53855F52"/>
    <w:multiLevelType w:val="hybridMultilevel"/>
    <w:tmpl w:val="3E162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16870"/>
    <w:multiLevelType w:val="hybridMultilevel"/>
    <w:tmpl w:val="9BE2C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1671495">
    <w:abstractNumId w:val="0"/>
  </w:num>
  <w:num w:numId="2" w16cid:durableId="236132895">
    <w:abstractNumId w:val="1"/>
  </w:num>
  <w:num w:numId="3" w16cid:durableId="25253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10006"/>
    <w:rsid w:val="000F6792"/>
    <w:rsid w:val="00210006"/>
    <w:rsid w:val="00403F45"/>
    <w:rsid w:val="00505914"/>
    <w:rsid w:val="00623D50"/>
    <w:rsid w:val="009F0039"/>
    <w:rsid w:val="00A36C3F"/>
    <w:rsid w:val="00AF6D97"/>
    <w:rsid w:val="00C37B5E"/>
    <w:rsid w:val="00C44CC7"/>
    <w:rsid w:val="00CD72F9"/>
    <w:rsid w:val="00DD3C0B"/>
    <w:rsid w:val="00E85D45"/>
    <w:rsid w:val="00EC1C84"/>
    <w:rsid w:val="00F72D8F"/>
    <w:rsid w:val="00F7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0D27BC"/>
  <w15:docId w15:val="{BFA35197-3FBD-4EFC-9C05-3C5ADAB2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3"/>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3D50"/>
    <w:pPr>
      <w:tabs>
        <w:tab w:val="center" w:pos="4680"/>
        <w:tab w:val="right" w:pos="9360"/>
      </w:tabs>
    </w:pPr>
  </w:style>
  <w:style w:type="character" w:customStyle="1" w:styleId="HeaderChar">
    <w:name w:val="Header Char"/>
    <w:basedOn w:val="DefaultParagraphFont"/>
    <w:link w:val="Header"/>
    <w:uiPriority w:val="99"/>
    <w:rsid w:val="00623D50"/>
    <w:rPr>
      <w:rFonts w:ascii="Calibri" w:eastAsia="Calibri" w:hAnsi="Calibri" w:cs="Calibri"/>
      <w:lang w:bidi="en-US"/>
    </w:rPr>
  </w:style>
  <w:style w:type="paragraph" w:styleId="Footer">
    <w:name w:val="footer"/>
    <w:basedOn w:val="Normal"/>
    <w:link w:val="FooterChar"/>
    <w:uiPriority w:val="99"/>
    <w:unhideWhenUsed/>
    <w:rsid w:val="00623D50"/>
    <w:pPr>
      <w:tabs>
        <w:tab w:val="center" w:pos="4680"/>
        <w:tab w:val="right" w:pos="9360"/>
      </w:tabs>
    </w:pPr>
  </w:style>
  <w:style w:type="character" w:customStyle="1" w:styleId="FooterChar">
    <w:name w:val="Footer Char"/>
    <w:basedOn w:val="DefaultParagraphFont"/>
    <w:link w:val="Footer"/>
    <w:uiPriority w:val="99"/>
    <w:rsid w:val="00623D50"/>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delyn.nelson@mercerisland.gov" TargetMode="External"/><Relationship Id="rId18" Type="http://schemas.openxmlformats.org/officeDocument/2006/relationships/hyperlink" Target="https://gcc02.safelinks.protection.outlook.com/?url=https%3A%2F%2Fwww.mercerisland.gov%2Fcpd%2Fpage%2Felectronic-plan-review&amp;data=05%7C01%7Cholly.mercier%40mercergov.org%7Cc2ba29f4c01f41e4e52208daf5f94bbb%7Cced2aa098b804de2b9dd7410b6965ed0%7C0%7C0%7C638092748326067439%7CUnknown%7CTWFpbGZsb3d8eyJWIjoiMC4wLjAwMDAiLCJQIjoiV2luMzIiLCJBTiI6Ik1haWwiLCJXVCI6Mn0%3D%7C3000%7C%7C%7C&amp;sdata=xLNtteryCOXsWq8PgwFaSXTUDVjvJwl65xKoTAS8OBc%3D&amp;reserved=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hyperlink" Target="https://gcc02.safelinks.protection.outlook.com/?url=https%3A%2F%2Fwww.mercerisland.gov%2Fcpd%2Fpage%2Fplan-review-troubleshooting&amp;data=05%7C01%7Cholly.mercier%40mercergov.org%7Cc2ba29f4c01f41e4e52208daf5f94bbb%7Cced2aa098b804de2b9dd7410b6965ed0%7C0%7C0%7C638092748326067439%7CUnknown%7CTWFpbGZsb3d8eyJWIjoiMC4wLjAwMDAiLCJQIjoiV2luMzIiLCJBTiI6Ik1haWwiLCJXVCI6Mn0%3D%7C3000%7C%7C%7C&amp;sdata=Tgj%2BhcPAUlsWDJhcmc%2BINp2QOI9MzKo67JR9FOyyGeg%3D&amp;reserved=0" TargetMode="External"/><Relationship Id="rId2" Type="http://schemas.openxmlformats.org/officeDocument/2006/relationships/styles" Target="styles.xml"/><Relationship Id="rId16" Type="http://schemas.openxmlformats.org/officeDocument/2006/relationships/hyperlink" Target="https://gcc02.safelinks.protection.outlook.com/?url=https%3A%2F%2Fwww.mercerisland.gov%2Fsites%2Fdefault%2Ffiles%2Ffileattachments%2Fcommunity_planning_amp_development%2Fpage%2F30846%2Fmieplancommentshowto.pdf&amp;data=05%7C01%7Cholly.mercier%40mercergov.org%7Cc2ba29f4c01f41e4e52208daf5f94bbb%7Cced2aa098b804de2b9dd7410b6965ed0%7C0%7C0%7C638092748325911216%7CUnknown%7CTWFpbGZsb3d8eyJWIjoiMC4wLjAwMDAiLCJQIjoiV2luMzIiLCJBTiI6Ik1haWwiLCJXVCI6Mn0%3D%7C3000%7C%7C%7C&amp;sdata=qVgvkopRmbyIb3Gi4BhTbx%2FKP%2F7HZrKixyLu1QDQyO8%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gcc02.safelinks.protection.outlook.com/?url=https%3A%2F%2Fwww.mercerisland.gov%2Fcpd%2Fpage%2Fhow-upload-your-submittal&amp;data=05%7C01%7Cholly.mercier%40mercergov.org%7Cc2ba29f4c01f41e4e52208daf5f94bbb%7Cced2aa098b804de2b9dd7410b6965ed0%7C0%7C0%7C638092748325911216%7CUnknown%7CTWFpbGZsb3d8eyJWIjoiMC4wLjAwMDAiLCJQIjoiV2luMzIiLCJBTiI6Ik1haWwiLCJXVCI6Mn0%3D%7C3000%7C%7C%7C&amp;sdata=5tB%2FunfosBDepe805KMxF%2FDVS9iIziVA%2FPsvGnuY0Rg%3D&amp;reserved=0" TargetMode="External"/><Relationship Id="rId10" Type="http://schemas.openxmlformats.org/officeDocument/2006/relationships/hyperlink" Target="http://www.mercerisland.gov/cp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gcc02.safelinks.protection.outlook.com/?url=https%3A%2F%2Fwww.mercerisland.gov%2Fcpd%2Fpage%2Fresubmittal-process-and-requirements&amp;data=05%7C01%7Cholly.mercier%40mercergov.org%7Cc2ba29f4c01f41e4e52208daf5f94bbb%7Cced2aa098b804de2b9dd7410b6965ed0%7C0%7C0%7C638092748325911216%7CUnknown%7CTWFpbGZsb3d8eyJWIjoiMC4wLjAwMDAiLCJQIjoiV2luMzIiLCJBTiI6Ik1haWwiLCJXVCI6Mn0%3D%7C3000%7C%7C%7C&amp;sdata=hUJK5fJSyz4ZeVObbtMaJinNzCWjpqLnW2Os1QzdB2I%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rceris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Madelyn Nelson</dc:creator>
  <cp:lastModifiedBy>Boreth Long</cp:lastModifiedBy>
  <cp:revision>7</cp:revision>
  <dcterms:created xsi:type="dcterms:W3CDTF">2025-12-04T23:10:00Z</dcterms:created>
  <dcterms:modified xsi:type="dcterms:W3CDTF">2026-01-07T16:37:00Z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Acrobat PDFMaker 20 for Word</vt:lpwstr>
  </property>
  <property fmtid="{D5CDD505-2E9C-101B-9397-08002B2CF9AE}" pid="4" name="LastSaved">
    <vt:filetime>2025-12-04T00:00:00Z</vt:filetime>
  </property>
</Properties>
</file>